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04473" w14:textId="77777777" w:rsidR="00364DEB" w:rsidRDefault="00364DEB" w:rsidP="00364DEB">
      <w:pPr>
        <w:pStyle w:val="Authors"/>
        <w:framePr w:w="9361" w:hSpace="0" w:vSpace="425" w:wrap="notBeside"/>
        <w:spacing w:before="160"/>
        <w:rPr>
          <w:rFonts w:ascii="Times New Roman" w:hAnsi="Times New Roman"/>
          <w:b/>
          <w:sz w:val="32"/>
          <w:szCs w:val="32"/>
        </w:rPr>
      </w:pPr>
      <w:r>
        <w:rPr>
          <w:rFonts w:ascii="Times New Roman" w:hAnsi="Times New Roman"/>
          <w:b/>
          <w:sz w:val="32"/>
          <w:szCs w:val="32"/>
        </w:rPr>
        <w:t>Frequency dependence of electric field tunability in a photonic liquid crystal fiber based on gold nanoparticles-doped 6CHBT nematic liquid crystal</w:t>
      </w:r>
    </w:p>
    <w:p w14:paraId="3503A14E" w14:textId="545C1A40" w:rsidR="00364DEB" w:rsidRDefault="00364DEB" w:rsidP="008E37A0">
      <w:pPr>
        <w:pStyle w:val="Authors"/>
        <w:framePr w:w="9361" w:hSpace="0" w:vSpace="425" w:wrap="notBeside"/>
        <w:spacing w:after="0"/>
        <w:rPr>
          <w:sz w:val="16"/>
          <w:szCs w:val="16"/>
        </w:rPr>
      </w:pPr>
      <w:r>
        <w:rPr>
          <w:rFonts w:ascii="Times New Roman" w:hAnsi="Times New Roman"/>
          <w:sz w:val="20"/>
          <w:szCs w:val="20"/>
        </w:rPr>
        <w:t>Miłosz</w:t>
      </w:r>
      <w:r>
        <w:rPr>
          <w:rFonts w:ascii="Times New Roman" w:hAnsi="Times New Roman"/>
          <w:sz w:val="20"/>
          <w:szCs w:val="20"/>
        </w:rPr>
        <w:t xml:space="preserve"> S.</w:t>
      </w:r>
      <w:r>
        <w:rPr>
          <w:rFonts w:ascii="Times New Roman" w:hAnsi="Times New Roman"/>
          <w:sz w:val="20"/>
          <w:szCs w:val="20"/>
        </w:rPr>
        <w:t xml:space="preserve"> Chychłowski</w:t>
      </w:r>
      <w:r>
        <w:rPr>
          <w:rFonts w:ascii="Times New Roman" w:hAnsi="Times New Roman"/>
          <w:sz w:val="20"/>
          <w:szCs w:val="20"/>
          <w:vertAlign w:val="superscript"/>
        </w:rPr>
        <w:t>1</w:t>
      </w:r>
      <w:r>
        <w:rPr>
          <w:rFonts w:ascii="Times New Roman" w:hAnsi="Times New Roman"/>
          <w:sz w:val="20"/>
          <w:szCs w:val="20"/>
        </w:rPr>
        <w:t>and Tomasz R. Woliński</w:t>
      </w:r>
      <w:r>
        <w:rPr>
          <w:sz w:val="20"/>
          <w:szCs w:val="20"/>
          <w:vertAlign w:val="superscript"/>
        </w:rPr>
        <w:t>1</w:t>
      </w:r>
      <w:r>
        <w:rPr>
          <w:rFonts w:ascii="Times New Roman" w:hAnsi="Times New Roman"/>
          <w:sz w:val="20"/>
          <w:szCs w:val="20"/>
        </w:rPr>
        <w:br/>
      </w:r>
      <w:r>
        <w:rPr>
          <w:i/>
          <w:sz w:val="20"/>
          <w:szCs w:val="20"/>
          <w:vertAlign w:val="superscript"/>
        </w:rPr>
        <w:t>1</w:t>
      </w:r>
      <w:r>
        <w:rPr>
          <w:i/>
          <w:sz w:val="20"/>
          <w:szCs w:val="20"/>
        </w:rPr>
        <w:t xml:space="preserve">Faculty of Physics, Warsaw University of Technology, </w:t>
      </w:r>
      <w:proofErr w:type="spellStart"/>
      <w:r>
        <w:rPr>
          <w:i/>
          <w:sz w:val="20"/>
          <w:szCs w:val="20"/>
        </w:rPr>
        <w:t>Koszykowa</w:t>
      </w:r>
      <w:proofErr w:type="spellEnd"/>
      <w:r>
        <w:rPr>
          <w:i/>
          <w:sz w:val="20"/>
          <w:szCs w:val="20"/>
        </w:rPr>
        <w:t xml:space="preserve"> 75, 00-662 </w:t>
      </w:r>
      <w:proofErr w:type="spellStart"/>
      <w:r>
        <w:rPr>
          <w:i/>
          <w:sz w:val="20"/>
          <w:szCs w:val="20"/>
        </w:rPr>
        <w:t>Warszawa,Poland</w:t>
      </w:r>
      <w:proofErr w:type="spellEnd"/>
      <w:r w:rsidRPr="00263600">
        <w:rPr>
          <w:sz w:val="16"/>
          <w:szCs w:val="16"/>
        </w:rPr>
        <w:t xml:space="preserve"> </w:t>
      </w:r>
    </w:p>
    <w:p w14:paraId="0EE55387" w14:textId="2BC1631A" w:rsidR="00E97402" w:rsidRPr="00263600" w:rsidRDefault="005854E7" w:rsidP="008E37A0">
      <w:pPr>
        <w:pStyle w:val="Authors"/>
        <w:framePr w:w="9361" w:hSpace="0" w:vSpace="425" w:wrap="notBeside"/>
        <w:spacing w:after="0"/>
        <w:rPr>
          <w:sz w:val="16"/>
          <w:szCs w:val="16"/>
        </w:rPr>
      </w:pPr>
      <w:r w:rsidRPr="00263600">
        <w:rPr>
          <w:sz w:val="16"/>
          <w:szCs w:val="16"/>
        </w:rPr>
        <w:t>Received</w:t>
      </w:r>
      <w:r w:rsidR="00263600">
        <w:rPr>
          <w:sz w:val="16"/>
          <w:szCs w:val="16"/>
        </w:rPr>
        <w:t xml:space="preserve"> </w:t>
      </w:r>
      <w:smartTag w:uri="urn:schemas-microsoft-com:office:smarttags" w:element="date">
        <w:smartTagPr>
          <w:attr w:name="Year" w:val="2008"/>
          <w:attr w:name="Day" w:val="28"/>
          <w:attr w:name="Month" w:val="11"/>
        </w:smartTagPr>
        <w:r w:rsidRPr="00263600">
          <w:rPr>
            <w:sz w:val="16"/>
            <w:szCs w:val="16"/>
          </w:rPr>
          <w:t>November</w:t>
        </w:r>
        <w:r w:rsidR="00263600">
          <w:rPr>
            <w:sz w:val="16"/>
            <w:szCs w:val="16"/>
          </w:rPr>
          <w:t xml:space="preserve"> </w:t>
        </w:r>
        <w:r w:rsidRPr="00263600">
          <w:rPr>
            <w:sz w:val="16"/>
            <w:szCs w:val="16"/>
          </w:rPr>
          <w:t>28, 2008</w:t>
        </w:r>
      </w:smartTag>
      <w:r w:rsidRPr="00263600">
        <w:rPr>
          <w:sz w:val="16"/>
          <w:szCs w:val="16"/>
        </w:rPr>
        <w:t xml:space="preserve">; revised </w:t>
      </w:r>
      <w:smartTag w:uri="urn:schemas-microsoft-com:office:smarttags" w:element="date">
        <w:smartTagPr>
          <w:attr w:name="Year" w:val="2008"/>
          <w:attr w:name="Day" w:val="2"/>
          <w:attr w:name="Month" w:val="12"/>
        </w:smartTagPr>
        <w:r w:rsidRPr="00263600">
          <w:rPr>
            <w:sz w:val="16"/>
            <w:szCs w:val="16"/>
          </w:rPr>
          <w:t>December 2, 2008</w:t>
        </w:r>
      </w:smartTag>
      <w:r w:rsidRPr="00263600">
        <w:rPr>
          <w:sz w:val="16"/>
          <w:szCs w:val="16"/>
        </w:rPr>
        <w:t xml:space="preserve">; accepted </w:t>
      </w:r>
      <w:smartTag w:uri="urn:schemas-microsoft-com:office:smarttags" w:element="date">
        <w:smartTagPr>
          <w:attr w:name="Year" w:val="2008"/>
          <w:attr w:name="Day" w:val="4"/>
          <w:attr w:name="Month" w:val="12"/>
        </w:smartTagPr>
        <w:r w:rsidRPr="00263600">
          <w:rPr>
            <w:sz w:val="16"/>
            <w:szCs w:val="16"/>
          </w:rPr>
          <w:t>December 4, 2008</w:t>
        </w:r>
      </w:smartTag>
      <w:r w:rsidR="00263600">
        <w:rPr>
          <w:sz w:val="16"/>
          <w:szCs w:val="16"/>
        </w:rPr>
        <w:t xml:space="preserve">; published </w:t>
      </w:r>
      <w:smartTag w:uri="urn:schemas-microsoft-com:office:smarttags" w:element="date">
        <w:smartTagPr>
          <w:attr w:name="Year" w:val="2008"/>
          <w:attr w:name="Day" w:val="5"/>
          <w:attr w:name="Month" w:val="12"/>
        </w:smartTagPr>
        <w:r w:rsidR="00263600">
          <w:rPr>
            <w:sz w:val="16"/>
            <w:szCs w:val="16"/>
          </w:rPr>
          <w:t>December 5, 2008</w:t>
        </w:r>
      </w:smartTag>
    </w:p>
    <w:p w14:paraId="0EC2190B" w14:textId="1EDE58C2" w:rsidR="004A2788" w:rsidRPr="00330CF3" w:rsidRDefault="00E97402" w:rsidP="008E37A0">
      <w:pPr>
        <w:jc w:val="both"/>
        <w:rPr>
          <w:rFonts w:ascii="Times New Roman" w:hAnsi="Times New Roman"/>
          <w:sz w:val="16"/>
          <w:szCs w:val="16"/>
          <w:lang w:val="en-GB"/>
        </w:rPr>
      </w:pPr>
      <w:r w:rsidRPr="00F4515B">
        <w:rPr>
          <w:rFonts w:ascii="Times New Roman" w:hAnsi="Times New Roman"/>
          <w:b/>
          <w:iCs/>
        </w:rPr>
        <w:t>Abstract</w:t>
      </w:r>
      <w:r w:rsidRPr="00330CF3">
        <w:rPr>
          <w:rFonts w:ascii="Times New Roman" w:hAnsi="Times New Roman"/>
          <w:sz w:val="16"/>
          <w:szCs w:val="16"/>
        </w:rPr>
        <w:t>—</w:t>
      </w:r>
      <w:r w:rsidR="00364DEB" w:rsidRPr="00364DEB">
        <w:rPr>
          <w:rFonts w:ascii="Times New Roman" w:hAnsi="Times New Roman"/>
          <w:sz w:val="16"/>
          <w:szCs w:val="16"/>
        </w:rPr>
        <w:t xml:space="preserve"> </w:t>
      </w:r>
      <w:r w:rsidR="00364DEB">
        <w:rPr>
          <w:rFonts w:ascii="Times New Roman" w:hAnsi="Times New Roman"/>
          <w:sz w:val="16"/>
          <w:szCs w:val="16"/>
        </w:rPr>
        <w:t>In this paper, we investigate an external electric field frequency influence on a photonic liquid crystal fiber (PLCF) based on a gold nanoparticles (NPs)-doped nematic liquid crystal (LC) and its response to the external electric field. We used a 6CHBT nematic LC doped with 2-nm gold NPs in a weight concentration of 0.1%, 0.2%, 0.3%, and 0.5%.</w:t>
      </w:r>
    </w:p>
    <w:p w14:paraId="47477AE9" w14:textId="77777777" w:rsidR="004A2788" w:rsidRPr="008E37A0" w:rsidRDefault="004A2788" w:rsidP="00AA64DF">
      <w:pPr>
        <w:pBdr>
          <w:bottom w:val="double" w:sz="4" w:space="1" w:color="auto"/>
        </w:pBdr>
        <w:jc w:val="both"/>
        <w:rPr>
          <w:sz w:val="16"/>
          <w:szCs w:val="16"/>
          <w:lang w:val="en-GB"/>
        </w:rPr>
      </w:pPr>
    </w:p>
    <w:p w14:paraId="1C43142A" w14:textId="77777777" w:rsidR="004A2788" w:rsidRPr="008E37A0" w:rsidRDefault="004A2788" w:rsidP="004A2788">
      <w:pPr>
        <w:jc w:val="both"/>
        <w:rPr>
          <w:sz w:val="16"/>
          <w:szCs w:val="16"/>
          <w:lang w:val="en-GB"/>
        </w:rPr>
      </w:pPr>
    </w:p>
    <w:p w14:paraId="0CB79DEC" w14:textId="77777777" w:rsidR="00364DEB" w:rsidRDefault="00364DEB" w:rsidP="00364DEB">
      <w:pPr>
        <w:pStyle w:val="Wcicienormalne"/>
        <w:ind w:firstLine="0"/>
      </w:pPr>
      <w:r>
        <w:rPr>
          <w:sz w:val="16"/>
          <w:szCs w:val="16"/>
        </w:rPr>
        <w:t xml:space="preserve">Over the last two decades photonic crystal </w:t>
      </w:r>
      <w:proofErr w:type="spellStart"/>
      <w:r>
        <w:rPr>
          <w:sz w:val="16"/>
          <w:szCs w:val="16"/>
        </w:rPr>
        <w:t>fibers</w:t>
      </w:r>
      <w:proofErr w:type="spellEnd"/>
      <w:r>
        <w:rPr>
          <w:sz w:val="16"/>
          <w:szCs w:val="16"/>
        </w:rPr>
        <w:t xml:space="preserve"> (PCFs) have gained an increasing research interest. Only in the last 10 years more than 17,000 papers have been published on PCFs compared to 11,000 in the first decade[1-3]. The history of liquid crystals (LCs) is much longer and its origins date back to 1888 when the first observation of liquid crystalline phase were made by Fritz </w:t>
      </w:r>
      <w:proofErr w:type="spellStart"/>
      <w:r>
        <w:rPr>
          <w:sz w:val="16"/>
          <w:szCs w:val="16"/>
        </w:rPr>
        <w:t>Reinitzer</w:t>
      </w:r>
      <w:proofErr w:type="spellEnd"/>
      <w:r>
        <w:rPr>
          <w:sz w:val="16"/>
          <w:szCs w:val="16"/>
        </w:rPr>
        <w:t>. However, in the last 10 years the number of works published on LC has edged down to 224,000 compared to the previous decade (229,000)[4-6].</w:t>
      </w:r>
    </w:p>
    <w:p w14:paraId="7B320CDF" w14:textId="77777777" w:rsidR="00364DEB" w:rsidRDefault="00364DEB" w:rsidP="00364DEB">
      <w:pPr>
        <w:pStyle w:val="Wcicienormalne1"/>
        <w:ind w:firstLine="0"/>
      </w:pPr>
      <w:r>
        <w:tab/>
        <w:t xml:space="preserve">In recent over 15 years [7], there has been a growing interest in applying LCs into photonics crystal </w:t>
      </w:r>
      <w:proofErr w:type="spellStart"/>
      <w:r>
        <w:t>fibers</w:t>
      </w:r>
      <w:proofErr w:type="spellEnd"/>
      <w:r>
        <w:t xml:space="preserve">, since manufacturing not only planar waveguides but also optical </w:t>
      </w:r>
      <w:proofErr w:type="spellStart"/>
      <w:r>
        <w:t>fibers</w:t>
      </w:r>
      <w:proofErr w:type="spellEnd"/>
      <w:r>
        <w:t xml:space="preserve"> with LCs that combine their interesting tuning properties in the form of photonic liquid crystal </w:t>
      </w:r>
      <w:proofErr w:type="spellStart"/>
      <w:r>
        <w:t>fibers</w:t>
      </w:r>
      <w:proofErr w:type="spellEnd"/>
      <w:r>
        <w:t xml:space="preserve"> (PLCFs)[8-9]. In the last 5 years over 1,600 papers have been published on the PCFs and LCs topic, and in the previous 5 years intervals the number of publications was as follows: 1,100, 600, 130, respectively. There is a clear upward trend indicating still a potential in developing of this particular research direction.</w:t>
      </w:r>
    </w:p>
    <w:p w14:paraId="4A24B24F" w14:textId="77777777" w:rsidR="00364DEB" w:rsidRDefault="00364DEB" w:rsidP="00364DEB">
      <w:pPr>
        <w:pStyle w:val="Wcicienormalne1"/>
        <w:ind w:firstLine="202"/>
      </w:pPr>
      <w:r>
        <w:t xml:space="preserve">Recently [10-13] our research activities have been concentrated to increase an applicability potential of PLCFs by doping LCs with appropriately selected nanoparticles so that the resulting material as a composite obtains parameters more relevant to its potential application in telecommunications. We have analysed switching times of such systems composed of PCFs and LCs doped with various types of NPs [11-13]. Also, relationship between type, concentration and size of a NP </w:t>
      </w:r>
      <w:proofErr w:type="spellStart"/>
      <w:r>
        <w:t>dopand</w:t>
      </w:r>
      <w:proofErr w:type="spellEnd"/>
      <w:r>
        <w:t xml:space="preserve"> in LC and its influence on the effective PLCF was investigated. The results obtained made it possible to significantly reduce the switching times and had a positive effect on electrical control parameters of such systems, allowing to reduce threshold voltages used for their control[11]. Moreover, temperature sensitivity of LCs has been investigated [12] and in particular an influence of NPs doping on the nematic-isotropic phase transition temperature [12]</w:t>
      </w:r>
    </w:p>
    <w:p w14:paraId="7CD95EBB" w14:textId="1A60B3C9" w:rsidR="00364DEB" w:rsidRDefault="00364DEB" w:rsidP="00364DEB">
      <w:pPr>
        <w:pStyle w:val="Wcicienormalne"/>
        <w:ind w:firstLine="0"/>
      </w:pPr>
      <w:r>
        <w:tab/>
        <w:t xml:space="preserve">In this paper, we present the so far not discussed aspect of the controlling external electric field, namely frequency of the electric field and its influence on the reaction of the system composed a PCF composite filled with NPs-doped LC. The measurement system included a PLCF sample, as well incoming and outgoing optical </w:t>
      </w:r>
      <w:proofErr w:type="spellStart"/>
      <w:r>
        <w:t>fibers</w:t>
      </w:r>
      <w:proofErr w:type="spellEnd"/>
      <w:r>
        <w:t xml:space="preserve">. A laser operating at a wavelength of 675 nm was used as a light source and an Ocean Optics power meter was used as a detector. The tested sample was placed between two plates to which the control voltage was applied after appropriate amplification so that the generated electric field was of the order of 1V / um in order to obtain reorientation forced by the external electric field (Fig. 1). The range of frequencies used during the experiment was determined by the amplifier’s high-frequency capabilities and the doped LC relaxation times. The frequency range varied from 10 Hz to 0.3 </w:t>
      </w:r>
      <w:proofErr w:type="spellStart"/>
      <w:r>
        <w:t>MHz.</w:t>
      </w:r>
      <w:proofErr w:type="spellEnd"/>
    </w:p>
    <w:p w14:paraId="0ADDE962" w14:textId="3EE822DE" w:rsidR="00364DEB" w:rsidRDefault="00364DEB" w:rsidP="00364DEB">
      <w:pPr>
        <w:pStyle w:val="Wcicienormalne"/>
        <w:ind w:firstLine="0"/>
      </w:pPr>
    </w:p>
    <w:p w14:paraId="7FCEF620" w14:textId="77777777" w:rsidR="00364DEB" w:rsidRDefault="00364DEB" w:rsidP="00364DEB">
      <w:pPr>
        <w:pStyle w:val="Wcicienormalne"/>
        <w:ind w:firstLine="0"/>
      </w:pPr>
    </w:p>
    <w:p w14:paraId="41C51F56" w14:textId="1A407DB5" w:rsidR="00364DEB" w:rsidRDefault="00364DEB" w:rsidP="00364DEB">
      <w:pPr>
        <w:pStyle w:val="Wcicienormalne"/>
        <w:ind w:firstLine="0"/>
        <w:jc w:val="center"/>
      </w:pPr>
      <w:r>
        <w:rPr>
          <w:noProof/>
        </w:rPr>
      </w:r>
      <w:r>
        <w:pict w14:anchorId="4992884A">
          <v:shapetype id="_x0000_t202" coordsize="21600,21600" o:spt="202" path="m,l,21600r21600,l21600,xe">
            <v:stroke joinstyle="miter"/>
            <v:path gradientshapeok="t" o:connecttype="rect"/>
          </v:shapetype>
          <v:shape id="Ramka3" o:spid="_x0000_s1030" type="#_x0000_t202" style="width:223.75pt;height:18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LmxgEAAIADAAAOAAAAZHJzL2Uyb0RvYy54bWysU8tu2zAQvBfoPxC815Ico3AEy0Faw0GA&#10;oC3i9ANWFGkR4QskY8l/3yVt2W16K6oDteSuhjszq9XdqBU5cB+kNQ2tZiUl3DDbSbNv6M+X7acl&#10;JSGC6UBZwxt65IHerT9+WA2u5nPbW9VxTxDEhHpwDe1jdHVRBNZzDWFmHTeYFNZriLj1+6LzMCC6&#10;VsW8LD8Xg/Wd85bxEPB0c0rSdcYXgrP4XYjAI1ENxd5iXn1e27QW6xXUew+ul+zcBvxDFxqkwUsv&#10;UBuIQN68/AtKS+ZtsCLOmNWFFUIynjkgm6p8x2bXg+OZC4oT3EWm8P9g2bfDD09k19AbSgxotOgZ&#10;9CvcJGUGF2os2DksieMXO6LD03nAw0R4FF6nN1IhmEeNjxdd+RgJw8P5clEtlphimJsvqvK2uk04&#10;xfVz50N84FaTFDTUo3FZTzg8hXgqnUrSbcEq2W2lUnnj9+1X5ckB0ORtfs7of5Qpk4qNTZ9l2xPg&#10;BkJ/gk/pIjE+MUtRHNsRkylsbXdEFQaclIYaHGVK1KNBI9JQTYGfgnYK0GQH8cnsHEuluVt3/xax&#10;iczqCn2+HG3OupxHMs3R7/tcdf1x1r8AAAD//wMAUEsDBBQABgAIAAAAIQCIXhEx3QAAAAUBAAAP&#10;AAAAZHJzL2Rvd25yZXYueG1sTI/BTsMwEETvSPyDtUhcUOsUCoEQp4KinpAQNOW+jZc4EK+j2E0C&#10;X4/hApeVRjOaeZuvJtuKgXrfOFawmCcgiCunG64V7MrN7BqED8gaW8ek4JM8rIrjoxwz7UZ+oWEb&#10;ahFL2GeowITQZVL6ypBFP3cdcfTeXG8xRNnXUvc4xnLbyvMkuZIWG44LBjtaG6o+tger4H0o642+&#10;n0azXjyWz2dPX68tPih1ejLd3YIINIW/MPzgR3QoItPeHVh70SqIj4TfG73lMr0EsVdwkd6kIItc&#10;/qcvvgEAAP//AwBQSwECLQAUAAYACAAAACEAtoM4kv4AAADhAQAAEwAAAAAAAAAAAAAAAAAAAAAA&#10;W0NvbnRlbnRfVHlwZXNdLnhtbFBLAQItABQABgAIAAAAIQA4/SH/1gAAAJQBAAALAAAAAAAAAAAA&#10;AAAAAC8BAABfcmVscy8ucmVsc1BLAQItABQABgAIAAAAIQDnCDLmxgEAAIADAAAOAAAAAAAAAAAA&#10;AAAAAC4CAABkcnMvZTJvRG9jLnhtbFBLAQItABQABgAIAAAAIQCIXhEx3QAAAAUBAAAPAAAAAAAA&#10;AAAAAAAAACAEAABkcnMvZG93bnJldi54bWxQSwUGAAAAAAQABADzAAAAKgUAAAAA&#10;" stroked="f">
            <v:textbox style="mso-fit-shape-to-text:t" inset="0,0,0,0">
              <w:txbxContent>
                <w:p w14:paraId="0B57CADB" w14:textId="77777777" w:rsidR="00364DEB" w:rsidRDefault="00364DEB" w:rsidP="00364DEB">
                  <w:pPr>
                    <w:pStyle w:val="Figdescription"/>
                    <w:rPr>
                      <w:szCs w:val="18"/>
                    </w:rPr>
                  </w:pPr>
                  <w:r>
                    <w:rPr>
                      <w:vanish/>
                      <w:sz w:val="18"/>
                      <w:szCs w:val="18"/>
                    </w:rPr>
                    <w:br/>
                  </w:r>
                  <w:r>
                    <w:rPr>
                      <w:sz w:val="18"/>
                      <w:szCs w:val="18"/>
                    </w:rPr>
                    <w:t xml:space="preserve">Fig. 1. Fig. 1. Setup of PLCF (blue section of yellow optical </w:t>
                  </w:r>
                  <w:proofErr w:type="spellStart"/>
                  <w:r>
                    <w:rPr>
                      <w:sz w:val="18"/>
                      <w:szCs w:val="18"/>
                    </w:rPr>
                    <w:t>fiber</w:t>
                  </w:r>
                  <w:proofErr w:type="spellEnd"/>
                  <w:r>
                    <w:rPr>
                      <w:sz w:val="18"/>
                      <w:szCs w:val="18"/>
                    </w:rPr>
                    <w:t>) with NP-doped LC response for electric field with various modulation frequencies placed between two plates(red)</w:t>
                  </w:r>
                </w:p>
              </w:txbxContent>
            </v:textbox>
            <w10:anchorlock/>
          </v:shape>
        </w:pict>
      </w:r>
    </w:p>
    <w:p w14:paraId="42500DDE" w14:textId="77777777" w:rsidR="00364DEB" w:rsidRDefault="00364DEB" w:rsidP="00364DEB">
      <w:pPr>
        <w:pStyle w:val="Wcicienormalne"/>
      </w:pPr>
    </w:p>
    <w:p w14:paraId="1430DF82" w14:textId="77777777" w:rsidR="00364DEB" w:rsidRDefault="00364DEB" w:rsidP="00364DEB">
      <w:pPr>
        <w:pStyle w:val="Wcicienormalne1"/>
      </w:pPr>
      <w:r>
        <w:t>To determine an influence of different frequencies on the PLCF responses, a common wavelength in PLCF transmission spectra for all samples is needed. For this purpose, spectral measurements of the transmission of PLCFs filled with a mixture of a 6CHBT nematic LC and gold (Au) NPs of various concentrations were performed (Fig. 2). As it can be seen in Fig. 2, transmission spectra without doping as with 0.5% doping have similar spectral characteristics. For intermediate values of the Au NPs doped LC, additional transmission bands arise and the existing ones widen relative to the extreme values of NP Au doped LC. Therefore, a laser source operating at the wavelength of 675nm was selected.</w:t>
      </w:r>
    </w:p>
    <w:p w14:paraId="31FB3A3F" w14:textId="77777777" w:rsidR="00364DEB" w:rsidRDefault="00364DEB" w:rsidP="00364DEB">
      <w:pPr>
        <w:pStyle w:val="Wcicienormalne"/>
      </w:pPr>
    </w:p>
    <w:p w14:paraId="0DF64953" w14:textId="5E0C9221" w:rsidR="00364DEB" w:rsidRDefault="00364DEB" w:rsidP="00364DEB">
      <w:pPr>
        <w:pStyle w:val="Wcicienormalne"/>
        <w:ind w:firstLine="0"/>
      </w:pPr>
      <w:r>
        <w:rPr>
          <w:noProof/>
        </w:rPr>
      </w:r>
      <w:r>
        <w:pict w14:anchorId="0E56689D">
          <v:shape id="Ramka4" o:spid="_x0000_s1029" type="#_x0000_t202" style="width:233.75pt;height:13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yQEAAIcDAAAOAAAAZHJzL2Uyb0RvYy54bWysU9uO0zAQfUfiHyy/U6fV7tKNmq6Aqghp&#10;BSsKHzBx7MbCN9neJv17xk7T5fKGyIMz9kyO55wz2TyMRpOTCFE529DloqJEWO46ZY8N/f5t/2ZN&#10;SUxgO9DOioaeRaQP29evNoOvxcr1TnciEASxsR58Q/uUfM1Y5L0wEBfOC4tJ6YKBhNtwZF2AAdGN&#10;ZququmODC50PjosY8XQ3Jem24EspePoiZRSJ6IZib6msoaxtXtl2A/UxgO8Vv7QB/9CFAWXx0ivU&#10;DhKQ56D+gjKKBxedTAvuDHNSKi4KB2SzrP5gc+jBi8IFxYn+KlP8f7D88+kpENU19IYSCwYt+grm&#10;B9xkZQYfayw4eCxJ43s3osPzecTDTHiUweQ3UiGYR43PV13FmAjHw9X93fr29p4Sjrnl22qNzmUc&#10;9vK5DzF9FM6QHDQ0oHFFTzg9xjSVziX5tui06vZK67IJx/aDDuQEaPK+PBf038q0zcXW5c+K7Rlw&#10;B7Gf4HOaZcYTsxylsR2LNlfWrevOKMaAA9NQixNNif5k0Y88W3MQ5qCdA/TaQ3q0B89zaWnav3tO&#10;2Eshly+boC89oNtFnstk5nH6dV+qXv6f7U8AAAD//wMAUEsDBBQABgAIAAAAIQCN9ByL3QAAAAUB&#10;AAAPAAAAZHJzL2Rvd25yZXYueG1sTI/BTsMwEETvSPyDtUhcUOu0ggAhTgVFPSFV0JT7Nl7iQLyO&#10;YjcJfD2GC1xWGs1o5m2+mmwrBup941jBYp6AIK6cbrhWsC83sxsQPiBrbB2Tgk/ysCpOT3LMtBv5&#10;hYZdqEUsYZ+hAhNCl0npK0MW/dx1xNF7c73FEGVfS93jGMttK5dJkkqLDccFgx2tDVUfu6NV8D6U&#10;9UY/TKNZL57K54vt12uLj0qdn033dyACTeEvDD/4ER2KyHRwR9ZetAriI+H3Ru8yvb4CcVCwTG8T&#10;kEUu/9MX3wAAAP//AwBQSwECLQAUAAYACAAAACEAtoM4kv4AAADhAQAAEwAAAAAAAAAAAAAAAAAA&#10;AAAAW0NvbnRlbnRfVHlwZXNdLnhtbFBLAQItABQABgAIAAAAIQA4/SH/1gAAAJQBAAALAAAAAAAA&#10;AAAAAAAAAC8BAABfcmVscy8ucmVsc1BLAQItABQABgAIAAAAIQB+TCDkyQEAAIcDAAAOAAAAAAAA&#10;AAAAAAAAAC4CAABkcnMvZTJvRG9jLnhtbFBLAQItABQABgAIAAAAIQCN9ByL3QAAAAUBAAAPAAAA&#10;AAAAAAAAAAAAACMEAABkcnMvZG93bnJldi54bWxQSwUGAAAAAAQABADzAAAALQUAAAAA&#10;" stroked="f">
            <v:textbox style="mso-fit-shape-to-text:t" inset="0,0,0,0">
              <w:txbxContent>
                <w:p w14:paraId="2A149990" w14:textId="77777777" w:rsidR="00364DEB" w:rsidRDefault="00364DEB" w:rsidP="00364DEB">
                  <w:pPr>
                    <w:pStyle w:val="Figdescription"/>
                    <w:rPr>
                      <w:szCs w:val="18"/>
                    </w:rPr>
                  </w:pPr>
                  <w:r>
                    <w:rPr>
                      <w:vanish/>
                      <w:sz w:val="18"/>
                      <w:szCs w:val="18"/>
                    </w:rPr>
                    <w:br/>
                  </w:r>
                  <w:r>
                    <w:rPr>
                      <w:sz w:val="18"/>
                      <w:szCs w:val="18"/>
                    </w:rPr>
                    <w:t xml:space="preserve">Fig. 2. </w:t>
                  </w:r>
                  <w:proofErr w:type="spellStart"/>
                  <w:r>
                    <w:rPr>
                      <w:sz w:val="18"/>
                      <w:szCs w:val="18"/>
                    </w:rPr>
                    <w:t>Transsmision</w:t>
                  </w:r>
                  <w:proofErr w:type="spellEnd"/>
                  <w:r>
                    <w:rPr>
                      <w:sz w:val="18"/>
                      <w:szCs w:val="18"/>
                    </w:rPr>
                    <w:t xml:space="preserve"> spectra for PCF infiltrated with Au NP doped LC</w:t>
                  </w:r>
                </w:p>
              </w:txbxContent>
            </v:textbox>
            <w10:anchorlock/>
          </v:shape>
        </w:pict>
      </w:r>
    </w:p>
    <w:p w14:paraId="3C679EBD" w14:textId="77777777" w:rsidR="00364DEB" w:rsidRDefault="00364DEB" w:rsidP="00364DEB">
      <w:pPr>
        <w:pStyle w:val="Wcicienormalne"/>
      </w:pPr>
    </w:p>
    <w:p w14:paraId="6E418B3B" w14:textId="77777777" w:rsidR="00364DEB" w:rsidRDefault="00364DEB" w:rsidP="00364DEB">
      <w:pPr>
        <w:pStyle w:val="Wcicienormalne1"/>
      </w:pPr>
      <w:r>
        <w:t xml:space="preserve">An influence of different modulation frequencies of the applied external electric field on response times of the photonics crystal </w:t>
      </w:r>
      <w:proofErr w:type="spellStart"/>
      <w:r>
        <w:t>fiber</w:t>
      </w:r>
      <w:proofErr w:type="spellEnd"/>
      <w:r>
        <w:t xml:space="preserve"> infiltrated with LC mixtures with </w:t>
      </w:r>
      <w:r>
        <w:lastRenderedPageBreak/>
        <w:t>different concentrations of Au NP are presented in Figures 3-5. The frequency signal in range from 10 Hz to 0.3 MHz was generated by a waveform generator and modulated with 1 Hz for rise and fall time measurements.</w:t>
      </w:r>
    </w:p>
    <w:p w14:paraId="638736B7" w14:textId="77777777" w:rsidR="00364DEB" w:rsidRDefault="00364DEB" w:rsidP="00364DEB">
      <w:pPr>
        <w:pStyle w:val="Wcicienormalne"/>
      </w:pPr>
    </w:p>
    <w:p w14:paraId="554AF40E" w14:textId="2567B56B" w:rsidR="00364DEB" w:rsidRDefault="00364DEB" w:rsidP="00364DEB">
      <w:pPr>
        <w:pStyle w:val="Wcicienormalne"/>
        <w:ind w:firstLine="0"/>
      </w:pPr>
      <w:r>
        <w:rPr>
          <w:noProof/>
        </w:rPr>
      </w:r>
      <w:r>
        <w:pict w14:anchorId="1D18182E">
          <v:shape id="Ramka5" o:spid="_x0000_s1028" type="#_x0000_t202" style="width:233.8pt;height:140.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WzzQEAAIcDAAAOAAAAZHJzL2Uyb0RvYy54bWysU8tu2zAQvAfoPxC815JVJLEFy0Fbw0GA&#10;oAnq9ANWFGkR5QskY8l/3yVtOW1zK+oDveQOlzszq9XdqBU5cB+kNQ2dz0pKuGG2k2bf0B8v248L&#10;SkIE04Gyhjf0yAO9W3+4Wg2u5pXtreq4J1jEhHpwDe1jdHVRBNZzDWFmHTeYFNZriLj1+6LzMGB1&#10;rYqqLG+KwfrOect4CHi6OSXpOtcXgrP4JETgkaiGYm8xrz6vbVqL9QrqvQfXS3ZuA/6hCw3S4KOX&#10;UhuIQF69fFdKS+ZtsCLOmNWFFUIynjkgm3n5F5tdD45nLihOcBeZwv8ry74dnj2RXUOvKTGg0aLv&#10;oH/CdVJmcKFGwM4hJI5f7IgOT+cBDxPhUXid/pEKwTxqfLzoysdIGB5Wy5tldbukhGFufrv4VC6y&#10;8sXbdedDvOdWkxQ01KNxWU84PIaIrSB0gqTXglWy20ql8sbv26/KkwOgydv8S13ilT9gyiSwsela&#10;tj0V3EDoT9iULhLjE7MUxbEdszbVxLq13RHFGHBgGmpwoilRDwb9SLM1BX4K2ilArx3ER7NzLEFz&#10;0+7za8ReMrn02Kn0uQd0OxM4T2Yap9/3GfX2/ax/AQAA//8DAFBLAwQUAAYACAAAACEAaw8Qq9wA&#10;AAAFAQAADwAAAGRycy9kb3ducmV2LnhtbEyPQUvDQBCF74L/YRnBi9hNi8SQZlO00pMg2uh9mp1m&#10;o9nZkN0m0V/v6kUvA4/3eO+bYjPbTow0+NaxguUiAUFcO91yo+C12l1nIHxA1tg5JgWf5GFTnp8V&#10;mGs38QuN+9CIWMI+RwUmhD6X0teGLPqF64mjd3SDxRDl0Eg94BTLbSdXSZJKiy3HBYM9bQ3VH/uT&#10;VfA+Vs1O38+T2S4fq+erp6+3Dh+UuryY79YgAs3hLww/+BEdysh0cCfWXnQK4iPh90bvJr1NQRwU&#10;rLIkA1kW8j99+Q0AAP//AwBQSwECLQAUAAYACAAAACEAtoM4kv4AAADhAQAAEwAAAAAAAAAAAAAA&#10;AAAAAAAAW0NvbnRlbnRfVHlwZXNdLnhtbFBLAQItABQABgAIAAAAIQA4/SH/1gAAAJQBAAALAAAA&#10;AAAAAAAAAAAAAC8BAABfcmVscy8ucmVsc1BLAQItABQABgAIAAAAIQA25YWzzQEAAIcDAAAOAAAA&#10;AAAAAAAAAAAAAC4CAABkcnMvZTJvRG9jLnhtbFBLAQItABQABgAIAAAAIQBrDxCr3AAAAAUBAAAP&#10;AAAAAAAAAAAAAAAAACcEAABkcnMvZG93bnJldi54bWxQSwUGAAAAAAQABADzAAAAMAUAAAAA&#10;" stroked="f">
            <v:textbox style="mso-fit-shape-to-text:t" inset="0,0,0,0">
              <w:txbxContent>
                <w:p w14:paraId="79040118" w14:textId="77777777" w:rsidR="00364DEB" w:rsidRDefault="00364DEB" w:rsidP="00364DEB">
                  <w:pPr>
                    <w:pStyle w:val="Figdescription"/>
                    <w:rPr>
                      <w:szCs w:val="18"/>
                    </w:rPr>
                  </w:pPr>
                  <w:r>
                    <w:rPr>
                      <w:vanish/>
                      <w:sz w:val="18"/>
                      <w:szCs w:val="18"/>
                    </w:rPr>
                    <w:br/>
                  </w:r>
                  <w:r>
                    <w:rPr>
                      <w:sz w:val="18"/>
                      <w:szCs w:val="18"/>
                    </w:rPr>
                    <w:t>Fig. 3. PLCF fall times induced by external electric field for wide frequencies range</w:t>
                  </w:r>
                </w:p>
              </w:txbxContent>
            </v:textbox>
            <w10:anchorlock/>
          </v:shape>
        </w:pict>
      </w:r>
    </w:p>
    <w:p w14:paraId="3781944E" w14:textId="77777777" w:rsidR="00364DEB" w:rsidRDefault="00364DEB" w:rsidP="00364DEB">
      <w:pPr>
        <w:pStyle w:val="Wcicienormalne"/>
        <w:ind w:firstLine="0"/>
      </w:pPr>
    </w:p>
    <w:p w14:paraId="0123384D" w14:textId="77777777" w:rsidR="00364DEB" w:rsidRDefault="00364DEB" w:rsidP="00364DEB">
      <w:pPr>
        <w:pStyle w:val="Wcicienormalne"/>
        <w:ind w:firstLine="0"/>
      </w:pPr>
      <w:r>
        <w:tab/>
        <w:t>As shown in Figure 3, for a concentration of 0.5</w:t>
      </w:r>
      <w:r>
        <w:rPr>
          <w:sz w:val="18"/>
          <w:szCs w:val="18"/>
        </w:rPr>
        <w:t>% wt.</w:t>
      </w:r>
      <w:r>
        <w:t xml:space="preserve"> Au NPs in LC, the relaxation times practically do not depend on the modulation frequency. However, with the lower percentage of NPs in LC, the relaxation times for higher frequencies decrease from 35 </w:t>
      </w:r>
      <w:proofErr w:type="spellStart"/>
      <w:r>
        <w:t>ms</w:t>
      </w:r>
      <w:proofErr w:type="spellEnd"/>
      <w:r>
        <w:t xml:space="preserve"> for medium frequencies to 25 </w:t>
      </w:r>
      <w:proofErr w:type="spellStart"/>
      <w:r>
        <w:t>ms</w:t>
      </w:r>
      <w:proofErr w:type="spellEnd"/>
      <w:r>
        <w:t xml:space="preserve"> for 0.3 MHz for undoped LC. By using lower modulation frequencies of the control voltage, there is a clear increase in relaxation times from 35 </w:t>
      </w:r>
      <w:proofErr w:type="spellStart"/>
      <w:r>
        <w:t>ms</w:t>
      </w:r>
      <w:proofErr w:type="spellEnd"/>
      <w:r>
        <w:t xml:space="preserve"> for medium frequencies to 55 </w:t>
      </w:r>
      <w:proofErr w:type="spellStart"/>
      <w:r>
        <w:t>ms</w:t>
      </w:r>
      <w:proofErr w:type="spellEnd"/>
      <w:r>
        <w:t xml:space="preserve"> for 10 Hz for a 0.1</w:t>
      </w:r>
      <w:r>
        <w:rPr>
          <w:sz w:val="18"/>
          <w:szCs w:val="18"/>
        </w:rPr>
        <w:t>% wt.</w:t>
      </w:r>
      <w:r>
        <w:t xml:space="preserve"> NP LC doped.</w:t>
      </w:r>
    </w:p>
    <w:p w14:paraId="3F338BC8" w14:textId="77777777" w:rsidR="00364DEB" w:rsidRDefault="00364DEB" w:rsidP="00364DEB">
      <w:pPr>
        <w:pStyle w:val="Wcicienormalne"/>
        <w:ind w:firstLine="0"/>
      </w:pPr>
      <w:r>
        <w:tab/>
        <w:t>The results of the rise time measurements (Fig. 4 and 5) in function of frequency of the applied control voltage depend on the percentage of NP in the LC and show a similar relationship as for the relaxation (fall) times. Closer analysis of the results shows that 0.1</w:t>
      </w:r>
      <w:r>
        <w:rPr>
          <w:sz w:val="18"/>
          <w:szCs w:val="18"/>
        </w:rPr>
        <w:t>% wt.</w:t>
      </w:r>
      <w:r>
        <w:t xml:space="preserve"> and 0.2</w:t>
      </w:r>
      <w:r>
        <w:rPr>
          <w:sz w:val="18"/>
          <w:szCs w:val="18"/>
        </w:rPr>
        <w:t>% wt.</w:t>
      </w:r>
      <w:r>
        <w:t xml:space="preserve"> Au NPs-doped LCs show the shortest rise times. For doping percentage of 0%, 0.1</w:t>
      </w:r>
      <w:r>
        <w:rPr>
          <w:sz w:val="18"/>
          <w:szCs w:val="18"/>
        </w:rPr>
        <w:t>% wt.</w:t>
      </w:r>
      <w:r>
        <w:t xml:space="preserve"> and 0.2</w:t>
      </w:r>
      <w:r>
        <w:rPr>
          <w:sz w:val="18"/>
          <w:szCs w:val="18"/>
        </w:rPr>
        <w:t>% wt.</w:t>
      </w:r>
      <w:r>
        <w:t xml:space="preserve"> NPs in LCs for lower and medium frequencies, the rise times are relatively constant and are equal to 1.6 </w:t>
      </w:r>
      <w:proofErr w:type="spellStart"/>
      <w:r>
        <w:t>ms</w:t>
      </w:r>
      <w:proofErr w:type="spellEnd"/>
      <w:r>
        <w:t xml:space="preserve">, 1.1 </w:t>
      </w:r>
      <w:proofErr w:type="spellStart"/>
      <w:r>
        <w:t>ms</w:t>
      </w:r>
      <w:proofErr w:type="spellEnd"/>
      <w:r>
        <w:t xml:space="preserve">, 1.1 </w:t>
      </w:r>
      <w:proofErr w:type="spellStart"/>
      <w:r>
        <w:t>ms</w:t>
      </w:r>
      <w:proofErr w:type="spellEnd"/>
      <w:r>
        <w:t xml:space="preserve"> respectively, while for higher frequencies there is an increase in rise times to 5.9 </w:t>
      </w:r>
      <w:proofErr w:type="spellStart"/>
      <w:r>
        <w:t>ms</w:t>
      </w:r>
      <w:proofErr w:type="spellEnd"/>
      <w:r>
        <w:t xml:space="preserve">, 4.0 </w:t>
      </w:r>
      <w:proofErr w:type="spellStart"/>
      <w:r>
        <w:t>ms</w:t>
      </w:r>
      <w:proofErr w:type="spellEnd"/>
      <w:r>
        <w:t xml:space="preserve"> and 4.1 </w:t>
      </w:r>
      <w:proofErr w:type="spellStart"/>
      <w:r>
        <w:t>ms</w:t>
      </w:r>
      <w:proofErr w:type="spellEnd"/>
      <w:r>
        <w:t xml:space="preserve"> respectively. For doping percentage of 0.3</w:t>
      </w:r>
      <w:r>
        <w:rPr>
          <w:sz w:val="18"/>
          <w:szCs w:val="18"/>
        </w:rPr>
        <w:t>% wt.</w:t>
      </w:r>
      <w:r>
        <w:t xml:space="preserve"> and 0.5</w:t>
      </w:r>
      <w:r>
        <w:rPr>
          <w:sz w:val="18"/>
          <w:szCs w:val="18"/>
        </w:rPr>
        <w:t>% wt.</w:t>
      </w:r>
      <w:r>
        <w:t xml:space="preserve"> NPs in LCs, there are large values of rise times for lower frequencies, minimal values for medium frequencies and an increase for higher frequencies are clearly visible. For 0.3</w:t>
      </w:r>
      <w:r>
        <w:rPr>
          <w:sz w:val="18"/>
          <w:szCs w:val="18"/>
        </w:rPr>
        <w:t>% wt.</w:t>
      </w:r>
      <w:r>
        <w:t xml:space="preserve"> NP in LC, the rise times are 3 </w:t>
      </w:r>
      <w:proofErr w:type="spellStart"/>
      <w:r>
        <w:t>ms</w:t>
      </w:r>
      <w:proofErr w:type="spellEnd"/>
      <w:r>
        <w:t xml:space="preserve">, 2.2 </w:t>
      </w:r>
      <w:proofErr w:type="spellStart"/>
      <w:r>
        <w:t>ms</w:t>
      </w:r>
      <w:proofErr w:type="spellEnd"/>
      <w:r>
        <w:t xml:space="preserve">, and 5.7 </w:t>
      </w:r>
      <w:proofErr w:type="spellStart"/>
      <w:r>
        <w:t>ms</w:t>
      </w:r>
      <w:proofErr w:type="spellEnd"/>
      <w:r>
        <w:t xml:space="preserve"> for low, medium, and high frequencies, respectively. For 0.5</w:t>
      </w:r>
      <w:r>
        <w:rPr>
          <w:sz w:val="18"/>
          <w:szCs w:val="18"/>
        </w:rPr>
        <w:t>% wt.</w:t>
      </w:r>
      <w:r>
        <w:t xml:space="preserve"> NP in LC, the rise times are 50 </w:t>
      </w:r>
      <w:proofErr w:type="spellStart"/>
      <w:r>
        <w:t>ms</w:t>
      </w:r>
      <w:proofErr w:type="spellEnd"/>
      <w:r>
        <w:t xml:space="preserve">, 22 </w:t>
      </w:r>
      <w:proofErr w:type="spellStart"/>
      <w:r>
        <w:t>ms</w:t>
      </w:r>
      <w:proofErr w:type="spellEnd"/>
      <w:r>
        <w:t xml:space="preserve">, and 4.4 </w:t>
      </w:r>
      <w:proofErr w:type="spellStart"/>
      <w:r>
        <w:t>ms</w:t>
      </w:r>
      <w:proofErr w:type="spellEnd"/>
      <w:r>
        <w:t xml:space="preserve"> for low, medium, and high frequencies, respectively.</w:t>
      </w:r>
    </w:p>
    <w:p w14:paraId="37865F22" w14:textId="77777777" w:rsidR="00364DEB" w:rsidRDefault="00364DEB" w:rsidP="00364DEB">
      <w:pPr>
        <w:pStyle w:val="Wcicienormalne"/>
        <w:ind w:firstLine="0"/>
      </w:pPr>
    </w:p>
    <w:p w14:paraId="38FC7ABC" w14:textId="35800E7A" w:rsidR="00364DEB" w:rsidRDefault="00364DEB" w:rsidP="00364DEB">
      <w:pPr>
        <w:pStyle w:val="Wcicienormalne"/>
        <w:ind w:firstLine="0"/>
      </w:pPr>
      <w:r>
        <w:rPr>
          <w:noProof/>
        </w:rPr>
      </w:r>
      <w:r>
        <w:pict w14:anchorId="0F3BB230">
          <v:shape id="Ramka6" o:spid="_x0000_s1027" type="#_x0000_t202" style="width:233.8pt;height:140.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6AszAEAAIcDAAAOAAAAZHJzL2Uyb0RvYy54bWysU9uO2jAQfa/Uf7D8XhxYiYWIsGqLqCqt&#10;2qp0P2Di2MSqb7K9JPx9x4awvbytyoMZe47Hc86ZbB5Go8lJhKicbeh8VlEiLHedsseGPv3Yv1tR&#10;EhPYDrSzoqFnEenD9u2bzeBrsXC9050IBIvYWA++oX1KvmYs8l4YiDPnhcWkdMFAwm04si7AgNWN&#10;ZouqWrLBhc4Hx0WMeLq7JOm21JdS8PRVyigS0Q3F3lJZQ1nbvLLtBupjAN8rfm0DXtGFAWXx0Vup&#10;HSQgz0H9U8ooHlx0Ms24M8xJqbgoHJDNvPqLzaEHLwoXFCf6m0zx/5XlX07fAlFdQ5eUWDBo0Xcw&#10;P2GZlRl8rBFw8AhJ4wc3osPTecTDTHiUweR/pEIwjxqfb7qKMRGOh4v1cr24X1PCMTe/X91Vq6I8&#10;e7nuQ0yfhDMkBw0NaFzRE06PMWErCJ0g+bXotOr2SuuyCcf2ow7kBGjyvvxyl3jlD5i2GWxdvlZs&#10;zwV3EPsLNqdZZnxhlqM0tmPR5m5i3brujGIMODANtTjRlOjPFv3IszUFYQraKUCvPaRHe/A8Q0vT&#10;/v1zwl4KufzYpfS1B3S7ELhOZh6n3/cF9fL9bH8BAAD//wMAUEsDBBQABgAIAAAAIQBrDxCr3AAA&#10;AAUBAAAPAAAAZHJzL2Rvd25yZXYueG1sTI9BS8NAEIXvgv9hGcGL2E2LxJBmU7TSkyDa6H2anWaj&#10;2dmQ3SbRX+/qRS8Dj/d475tiM9tOjDT41rGC5SIBQVw73XKj4LXaXWcgfEDW2DkmBZ/kYVOenxWY&#10;azfxC4370IhYwj5HBSaEPpfS14Ys+oXriaN3dIPFEOXQSD3gFMttJ1dJkkqLLccFgz1tDdUf+5NV&#10;8D5WzU7fz5PZLh+r56unr7cOH5S6vJjv1iACzeEvDD/4ER3KyHRwJ9ZedAriI+H3Ru8mvU1BHBSs&#10;siQDWRbyP335DQAA//8DAFBLAQItABQABgAIAAAAIQC2gziS/gAAAOEBAAATAAAAAAAAAAAAAAAA&#10;AAAAAABbQ29udGVudF9UeXBlc10ueG1sUEsBAi0AFAAGAAgAAAAhADj9If/WAAAAlAEAAAsAAAAA&#10;AAAAAAAAAAAALwEAAF9yZWxzLy5yZWxzUEsBAi0AFAAGAAgAAAAhABD3oCzMAQAAhwMAAA4AAAAA&#10;AAAAAAAAAAAALgIAAGRycy9lMm9Eb2MueG1sUEsBAi0AFAAGAAgAAAAhAGsPEKvcAAAABQEAAA8A&#10;AAAAAAAAAAAAAAAAJgQAAGRycy9kb3ducmV2LnhtbFBLBQYAAAAABAAEAPMAAAAvBQAAAAA=&#10;" stroked="f">
            <v:textbox style="mso-fit-shape-to-text:t" inset="0,0,0,0">
              <w:txbxContent>
                <w:p w14:paraId="1FD42309" w14:textId="77777777" w:rsidR="00364DEB" w:rsidRDefault="00364DEB" w:rsidP="00364DEB">
                  <w:pPr>
                    <w:pStyle w:val="Figdescription"/>
                    <w:rPr>
                      <w:szCs w:val="18"/>
                    </w:rPr>
                  </w:pPr>
                  <w:r>
                    <w:rPr>
                      <w:vanish/>
                      <w:sz w:val="18"/>
                      <w:szCs w:val="18"/>
                    </w:rPr>
                    <w:br/>
                  </w:r>
                  <w:r>
                    <w:rPr>
                      <w:sz w:val="18"/>
                      <w:szCs w:val="18"/>
                    </w:rPr>
                    <w:t>Fig. 4. PLCF rise times induced by external electric field for wide frequencies range for concentrations 0.5% wt. to 0.2% wt. and 0% wt.</w:t>
                  </w:r>
                </w:p>
              </w:txbxContent>
            </v:textbox>
            <w10:anchorlock/>
          </v:shape>
        </w:pict>
      </w:r>
    </w:p>
    <w:p w14:paraId="48FD60E7" w14:textId="77777777" w:rsidR="00364DEB" w:rsidRDefault="00364DEB" w:rsidP="00364DEB">
      <w:pPr>
        <w:pStyle w:val="Wcicienormalne"/>
        <w:ind w:firstLine="0"/>
      </w:pPr>
    </w:p>
    <w:p w14:paraId="3B7B5942" w14:textId="0E52DC7B" w:rsidR="00364DEB" w:rsidRDefault="00364DEB" w:rsidP="00364DEB">
      <w:pPr>
        <w:pStyle w:val="Wcicienormalne"/>
        <w:ind w:firstLine="0"/>
      </w:pPr>
      <w:r>
        <w:rPr>
          <w:noProof/>
        </w:rPr>
      </w:r>
      <w:r>
        <w:pict w14:anchorId="08712735">
          <v:shape id="Ramka7" o:spid="_x0000_s1026" type="#_x0000_t202" style="width:233.8pt;height:140.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CzAEAAIcDAAAOAAAAZHJzL2Uyb0RvYy54bWysU9uO0zAQfUfiHyy/U6cFbduo6QqoipBW&#10;gOjyARPHbix8k+1t0r9n7DZdWN4QfXDHnuPxnHMmm/vRaHISISpnGzqfVZQIy12n7LGhPx73b1aU&#10;xAS2A+2saOhZRHq/ff1qM/haLFzvdCcCwSI21oNvaJ+SrxmLvBcG4sx5YTEpXTCQcBuOrAswYHWj&#10;2aKq7tjgQueD4yJGPN1dknRb6kspePoqZRSJ6IZib6msoaxtXtl2A/UxgO8Vv7YB/9CFAWXx0Vup&#10;HSQgT0H9VcooHlx0Ms24M8xJqbgoHJDNvHrB5tCDF4ULihP9Tab4/8ryL6dvgaiuoUtKLBi06DuY&#10;n7DMygw+1gg4eISk8YMb0eHpPOJhJjzKYPI/UiGYR43PN13FmAjHw8X6br1YrinhmJsvV2+rVVGe&#10;PV/3IaZPwhmSg4YGNK7oCaeHmLAVhE6Q/Fp0WnV7pXXZhGP7UQdyAjR5X365S7zyB0zbDLYuXyu2&#10;54I7iP0Fm9MsM74wy1Ea27Fo825i3brujGIMODANtTjRlOjPFv3IszUFYQraKUCvPaQHe/A8Q0vT&#10;/v1Twl4KufzYpfS1B3S7ELhOZh6n3/cF9fz9bH8BAAD//wMAUEsDBBQABgAIAAAAIQBrDxCr3AAA&#10;AAUBAAAPAAAAZHJzL2Rvd25yZXYueG1sTI9BS8NAEIXvgv9hGcGL2E2LxJBmU7TSkyDa6H2anWaj&#10;2dmQ3SbRX+/qRS8Dj/d475tiM9tOjDT41rGC5SIBQVw73XKj4LXaXWcgfEDW2DkmBZ/kYVOenxWY&#10;azfxC4370IhYwj5HBSaEPpfS14Ys+oXriaN3dIPFEOXQSD3gFMttJ1dJkkqLLccFgz1tDdUf+5NV&#10;8D5WzU7fz5PZLh+r56unr7cOH5S6vJjv1iACzeEvDD/4ER3KyHRwJ9ZedAriI+H3Ru8mvU1BHBSs&#10;siQDWRbyP335DQAA//8DAFBLAQItABQABgAIAAAAIQC2gziS/gAAAOEBAAATAAAAAAAAAAAAAAAA&#10;AAAAAABbQ29udGVudF9UeXBlc10ueG1sUEsBAi0AFAAGAAgAAAAhADj9If/WAAAAlAEAAAsAAAAA&#10;AAAAAAAAAAAALwEAAF9yZWxzLy5yZWxzUEsBAi0AFAAGAAgAAAAhADG5T8LMAQAAhwMAAA4AAAAA&#10;AAAAAAAAAAAALgIAAGRycy9lMm9Eb2MueG1sUEsBAi0AFAAGAAgAAAAhAGsPEKvcAAAABQEAAA8A&#10;AAAAAAAAAAAAAAAAJgQAAGRycy9kb3ducmV2LnhtbFBLBQYAAAAABAAEAPMAAAAvBQAAAAA=&#10;" stroked="f">
            <v:textbox style="mso-fit-shape-to-text:t" inset="0,0,0,0">
              <w:txbxContent>
                <w:p w14:paraId="3D6F6830" w14:textId="77777777" w:rsidR="00364DEB" w:rsidRDefault="00364DEB" w:rsidP="00364DEB">
                  <w:pPr>
                    <w:pStyle w:val="Figdescription"/>
                    <w:rPr>
                      <w:szCs w:val="18"/>
                    </w:rPr>
                  </w:pPr>
                  <w:r>
                    <w:rPr>
                      <w:vanish/>
                      <w:sz w:val="18"/>
                      <w:szCs w:val="18"/>
                    </w:rPr>
                    <w:br/>
                  </w:r>
                  <w:r>
                    <w:rPr>
                      <w:sz w:val="18"/>
                      <w:szCs w:val="18"/>
                    </w:rPr>
                    <w:t>Fig. 5. PLCF rise times induced by external electric field for wide frequencies range for concentrations 0% wt. - 0.3% wt..</w:t>
                  </w:r>
                </w:p>
              </w:txbxContent>
            </v:textbox>
            <w10:anchorlock/>
          </v:shape>
        </w:pict>
      </w:r>
    </w:p>
    <w:p w14:paraId="061BFC91" w14:textId="77777777" w:rsidR="00364DEB" w:rsidRDefault="00364DEB" w:rsidP="00364DEB">
      <w:pPr>
        <w:pStyle w:val="Wcicienormalne"/>
      </w:pPr>
    </w:p>
    <w:p w14:paraId="7AB4F401" w14:textId="77777777" w:rsidR="00364DEB" w:rsidRDefault="00364DEB" w:rsidP="00364DEB">
      <w:pPr>
        <w:pStyle w:val="Wcicienormalne1"/>
      </w:pPr>
      <w:r>
        <w:t xml:space="preserve">Based on the results obtained one can determine a suitable frequency range of the control voltage for the PCF infiltrated with the NPs-doped LC and percentage concentration of the dopant in the LC. For the 6CHBT nematic liquid crystal doped with 2nm Au nanoparticles, the optimal frequency range for the control voltage is between 0.5 kHz and 10 kHz. In this range, minimal </w:t>
      </w:r>
      <w:r>
        <w:t xml:space="preserve">values of rise and relaxation times can be simultaneously achieved. Due to the characteristics for the rise times, it is possible to determine the optimal percentage of Au NP </w:t>
      </w:r>
      <w:proofErr w:type="spellStart"/>
      <w:r>
        <w:t>dopand</w:t>
      </w:r>
      <w:proofErr w:type="spellEnd"/>
      <w:r>
        <w:t xml:space="preserve"> in LC and it is equal to 0.1% wt. of the Au NP in the 6CHBT LC.</w:t>
      </w:r>
    </w:p>
    <w:p w14:paraId="0B01C673" w14:textId="77777777" w:rsidR="00364DEB" w:rsidRDefault="00364DEB" w:rsidP="00364DEB">
      <w:pPr>
        <w:pStyle w:val="Wcicienormalne1"/>
      </w:pPr>
    </w:p>
    <w:p w14:paraId="5E26D576" w14:textId="77777777" w:rsidR="00364DEB" w:rsidRDefault="00364DEB" w:rsidP="00364DEB">
      <w:pPr>
        <w:pStyle w:val="Text"/>
        <w:rPr>
          <w:rFonts w:ascii="Times New Roman" w:hAnsi="Times New Roman"/>
        </w:rPr>
      </w:pPr>
      <w:r>
        <w:rPr>
          <w:rFonts w:ascii="Times New Roman" w:hAnsi="Times New Roman"/>
        </w:rPr>
        <w:t>Acknowledgments:</w:t>
      </w:r>
    </w:p>
    <w:p w14:paraId="12D7E5BD" w14:textId="77777777" w:rsidR="00364DEB" w:rsidRDefault="00364DEB" w:rsidP="00364DEB">
      <w:pPr>
        <w:pStyle w:val="Text"/>
        <w:rPr>
          <w:rFonts w:ascii="Times New Roman" w:hAnsi="Times New Roman"/>
        </w:rPr>
      </w:pPr>
      <w:r>
        <w:rPr>
          <w:rFonts w:ascii="Times New Roman" w:hAnsi="Times New Roman"/>
        </w:rPr>
        <w:t>This work was supported by the Grant NCN 2015/19/B/ST7/03650 from the Polish National Science Center</w:t>
      </w:r>
    </w:p>
    <w:p w14:paraId="6A8E635B" w14:textId="77777777" w:rsidR="00364DEB" w:rsidRPr="00364DEB" w:rsidRDefault="00364DEB" w:rsidP="00364DEB">
      <w:pPr>
        <w:pStyle w:val="Wcicienormalne"/>
        <w:ind w:firstLine="0"/>
        <w:rPr>
          <w:lang w:val="en-US"/>
        </w:rPr>
      </w:pPr>
    </w:p>
    <w:p w14:paraId="3AA7C569" w14:textId="514D1E24" w:rsidR="00364DEB" w:rsidRDefault="00364DEB" w:rsidP="00364DEB">
      <w:pPr>
        <w:pStyle w:val="Wcicienormalne"/>
        <w:ind w:firstLine="0"/>
      </w:pPr>
    </w:p>
    <w:p w14:paraId="168A327B" w14:textId="77777777" w:rsidR="00364DEB" w:rsidRDefault="00364DEB" w:rsidP="00364DEB">
      <w:pPr>
        <w:pStyle w:val="Wcicienormalne"/>
        <w:ind w:firstLine="0"/>
      </w:pPr>
    </w:p>
    <w:p w14:paraId="6042FFB2" w14:textId="77777777" w:rsidR="00D07C87" w:rsidRPr="00993CB5" w:rsidRDefault="00D07C87" w:rsidP="00D07C87">
      <w:pPr>
        <w:pStyle w:val="Text"/>
        <w:ind w:firstLine="144"/>
        <w:rPr>
          <w:sz w:val="16"/>
          <w:szCs w:val="16"/>
          <w:lang w:val="en-GB"/>
        </w:rPr>
      </w:pPr>
    </w:p>
    <w:p w14:paraId="05583725" w14:textId="77777777" w:rsidR="00D07C87" w:rsidRDefault="00D07C87" w:rsidP="00993CB5">
      <w:pPr>
        <w:pStyle w:val="Text"/>
        <w:ind w:firstLine="0"/>
        <w:jc w:val="left"/>
        <w:rPr>
          <w:b/>
        </w:rPr>
      </w:pPr>
      <w:r w:rsidRPr="00D07C87">
        <w:rPr>
          <w:b/>
        </w:rPr>
        <w:t>References</w:t>
      </w:r>
    </w:p>
    <w:p w14:paraId="24483400" w14:textId="77777777" w:rsidR="00D07C87" w:rsidRPr="00993CB5" w:rsidRDefault="00D07C87" w:rsidP="00D07C87">
      <w:pPr>
        <w:pStyle w:val="Text"/>
        <w:ind w:firstLine="144"/>
        <w:jc w:val="center"/>
        <w:rPr>
          <w:rFonts w:ascii="Times New Roman" w:hAnsi="Times New Roman"/>
          <w:b/>
          <w:sz w:val="16"/>
          <w:szCs w:val="16"/>
        </w:rPr>
      </w:pPr>
    </w:p>
    <w:p w14:paraId="48DF6DF8" w14:textId="05CCBC4E"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J. C. Knight, T. A. Birks, P. St. J. Russell, and D. M. Atkin, "All-silica single-mode optical fiber with photonic crystal cladding," Opt. Lett. 21, 1547-1549 (1996) https://doi.org/10.1364/OL.21.001547</w:t>
      </w:r>
    </w:p>
    <w:p w14:paraId="3E8AABC5"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 xml:space="preserve">J. C. Knight,T. A. Birks, P. S. J.Russell, , and J. P. De Sandro, </w:t>
      </w:r>
      <w:r w:rsidRPr="00364DEB">
        <w:rPr>
          <w:rFonts w:hint="eastAsia"/>
          <w:noProof/>
          <w:sz w:val="16"/>
          <w:szCs w:val="16"/>
          <w:lang w:val="en-US"/>
        </w:rPr>
        <w:t>“</w:t>
      </w:r>
      <w:r w:rsidRPr="00364DEB">
        <w:rPr>
          <w:noProof/>
          <w:sz w:val="16"/>
          <w:szCs w:val="16"/>
          <w:lang w:val="en-US"/>
        </w:rPr>
        <w:t>Properties of photonic crystal fiber and the effective index model</w:t>
      </w:r>
      <w:r w:rsidRPr="00364DEB">
        <w:rPr>
          <w:rFonts w:hint="eastAsia"/>
          <w:noProof/>
          <w:sz w:val="16"/>
          <w:szCs w:val="16"/>
          <w:lang w:val="en-US"/>
        </w:rPr>
        <w:t>”</w:t>
      </w:r>
      <w:r w:rsidRPr="00364DEB">
        <w:rPr>
          <w:noProof/>
          <w:sz w:val="16"/>
          <w:szCs w:val="16"/>
          <w:lang w:val="en-US"/>
        </w:rPr>
        <w:t>, JOSA A, 15(3), 748-752, (1998)</w:t>
      </w:r>
    </w:p>
    <w:p w14:paraId="68EC74E3"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 xml:space="preserve">S. A. Cerqueira,F. Luan, C. M. B. Cordeiro, A. K. George, and J. C. Knight,  </w:t>
      </w:r>
      <w:r w:rsidRPr="00364DEB">
        <w:rPr>
          <w:rFonts w:hint="eastAsia"/>
          <w:noProof/>
          <w:sz w:val="16"/>
          <w:szCs w:val="16"/>
          <w:lang w:val="en-US"/>
        </w:rPr>
        <w:t>“</w:t>
      </w:r>
      <w:r w:rsidRPr="00364DEB">
        <w:rPr>
          <w:noProof/>
          <w:sz w:val="16"/>
          <w:szCs w:val="16"/>
          <w:lang w:val="en-US"/>
        </w:rPr>
        <w:t>Hybrid photonic crystal fiber</w:t>
      </w:r>
      <w:r w:rsidRPr="00364DEB">
        <w:rPr>
          <w:rFonts w:hint="eastAsia"/>
          <w:noProof/>
          <w:sz w:val="16"/>
          <w:szCs w:val="16"/>
          <w:lang w:val="en-US"/>
        </w:rPr>
        <w:t>”</w:t>
      </w:r>
      <w:r w:rsidRPr="00364DEB">
        <w:rPr>
          <w:noProof/>
          <w:sz w:val="16"/>
          <w:szCs w:val="16"/>
          <w:lang w:val="en-US"/>
        </w:rPr>
        <w:t xml:space="preserve">, </w:t>
      </w:r>
      <w:r w:rsidRPr="00364DEB">
        <w:rPr>
          <w:rFonts w:hint="eastAsia"/>
          <w:noProof/>
          <w:sz w:val="16"/>
          <w:szCs w:val="16"/>
          <w:lang w:val="en-US"/>
        </w:rPr>
        <w:t>“</w:t>
      </w:r>
      <w:r w:rsidRPr="00364DEB">
        <w:rPr>
          <w:noProof/>
          <w:sz w:val="16"/>
          <w:szCs w:val="16"/>
          <w:lang w:val="en-US"/>
        </w:rPr>
        <w:t>Optics Express</w:t>
      </w:r>
      <w:r w:rsidRPr="00364DEB">
        <w:rPr>
          <w:rFonts w:hint="eastAsia"/>
          <w:noProof/>
          <w:sz w:val="16"/>
          <w:szCs w:val="16"/>
          <w:lang w:val="en-US"/>
        </w:rPr>
        <w:t>”</w:t>
      </w:r>
      <w:r w:rsidRPr="00364DEB">
        <w:rPr>
          <w:noProof/>
          <w:sz w:val="16"/>
          <w:szCs w:val="16"/>
          <w:lang w:val="en-US"/>
        </w:rPr>
        <w:t>, 14(2), 926-931,(2006)</w:t>
      </w:r>
    </w:p>
    <w:p w14:paraId="524D1DE0"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 xml:space="preserve">W. Bragg, </w:t>
      </w:r>
      <w:r w:rsidRPr="00364DEB">
        <w:rPr>
          <w:rFonts w:hint="eastAsia"/>
          <w:noProof/>
          <w:sz w:val="16"/>
          <w:szCs w:val="16"/>
          <w:lang w:val="en-US"/>
        </w:rPr>
        <w:t>“</w:t>
      </w:r>
      <w:r w:rsidRPr="00364DEB">
        <w:rPr>
          <w:noProof/>
          <w:sz w:val="16"/>
          <w:szCs w:val="16"/>
          <w:lang w:val="en-US"/>
        </w:rPr>
        <w:t>Liquid Crystals</w:t>
      </w:r>
      <w:r w:rsidRPr="00364DEB">
        <w:rPr>
          <w:rFonts w:hint="eastAsia"/>
          <w:noProof/>
          <w:sz w:val="16"/>
          <w:szCs w:val="16"/>
          <w:lang w:val="en-US"/>
        </w:rPr>
        <w:t>”</w:t>
      </w:r>
      <w:r w:rsidRPr="00364DEB">
        <w:rPr>
          <w:noProof/>
          <w:sz w:val="16"/>
          <w:szCs w:val="16"/>
          <w:lang w:val="en-US"/>
        </w:rPr>
        <w:t>, Nature 133, 445</w:t>
      </w:r>
      <w:r w:rsidRPr="00364DEB">
        <w:rPr>
          <w:rFonts w:hint="eastAsia"/>
          <w:noProof/>
          <w:sz w:val="16"/>
          <w:szCs w:val="16"/>
          <w:lang w:val="en-US"/>
        </w:rPr>
        <w:t>–</w:t>
      </w:r>
      <w:r w:rsidRPr="00364DEB">
        <w:rPr>
          <w:noProof/>
          <w:sz w:val="16"/>
          <w:szCs w:val="16"/>
          <w:lang w:val="en-US"/>
        </w:rPr>
        <w:t>456, (1934) https://doi.org/10.1038/133445a0</w:t>
      </w:r>
    </w:p>
    <w:p w14:paraId="73800C6A"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J. K</w:t>
      </w:r>
      <w:r w:rsidRPr="00364DEB">
        <w:rPr>
          <w:rFonts w:hint="eastAsia"/>
          <w:noProof/>
          <w:sz w:val="16"/>
          <w:szCs w:val="16"/>
          <w:lang w:val="en-US"/>
        </w:rPr>
        <w:t>ę</w:t>
      </w:r>
      <w:r w:rsidRPr="00364DEB">
        <w:rPr>
          <w:noProof/>
          <w:sz w:val="16"/>
          <w:szCs w:val="16"/>
          <w:lang w:val="en-US"/>
        </w:rPr>
        <w:t xml:space="preserve">dzierski, K. Garbat, Z. Raszewski, M. Kojdecki, K. Kowiorski, L. Jaroszewicz, and W. Piecek,  </w:t>
      </w:r>
      <w:r w:rsidRPr="00364DEB">
        <w:rPr>
          <w:rFonts w:hint="eastAsia"/>
          <w:noProof/>
          <w:sz w:val="16"/>
          <w:szCs w:val="16"/>
          <w:lang w:val="en-US"/>
        </w:rPr>
        <w:t>“</w:t>
      </w:r>
      <w:r w:rsidRPr="00364DEB">
        <w:rPr>
          <w:noProof/>
          <w:sz w:val="16"/>
          <w:szCs w:val="16"/>
          <w:lang w:val="en-US"/>
        </w:rPr>
        <w:t>Optical properties of a liquid crystal with small ordinary and extraordinary refractive indices and small optical anisotropy</w:t>
      </w:r>
      <w:r w:rsidRPr="00364DEB">
        <w:rPr>
          <w:rFonts w:hint="eastAsia"/>
          <w:noProof/>
          <w:sz w:val="16"/>
          <w:szCs w:val="16"/>
          <w:lang w:val="en-US"/>
        </w:rPr>
        <w:t>”</w:t>
      </w:r>
      <w:r w:rsidRPr="00364DEB">
        <w:rPr>
          <w:noProof/>
          <w:sz w:val="16"/>
          <w:szCs w:val="16"/>
          <w:lang w:val="en-US"/>
        </w:rPr>
        <w:t>, Opto-Electronics Review, 22(3), 162-165, (2014)</w:t>
      </w:r>
    </w:p>
    <w:p w14:paraId="126929E2"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 xml:space="preserve">Y. Li, and S. T. Wu, </w:t>
      </w:r>
      <w:r w:rsidRPr="00364DEB">
        <w:rPr>
          <w:rFonts w:hint="eastAsia"/>
          <w:noProof/>
          <w:sz w:val="16"/>
          <w:szCs w:val="16"/>
          <w:lang w:val="en-US"/>
        </w:rPr>
        <w:t>“</w:t>
      </w:r>
      <w:r w:rsidRPr="00364DEB">
        <w:rPr>
          <w:noProof/>
          <w:sz w:val="16"/>
          <w:szCs w:val="16"/>
          <w:lang w:val="en-US"/>
        </w:rPr>
        <w:t>Polarization independent adaptive microlens with a blue-phase liquid crystal</w:t>
      </w:r>
      <w:r w:rsidRPr="00364DEB">
        <w:rPr>
          <w:rFonts w:hint="eastAsia"/>
          <w:noProof/>
          <w:sz w:val="16"/>
          <w:szCs w:val="16"/>
          <w:lang w:val="en-US"/>
        </w:rPr>
        <w:t>”</w:t>
      </w:r>
      <w:r w:rsidRPr="00364DEB">
        <w:rPr>
          <w:noProof/>
          <w:sz w:val="16"/>
          <w:szCs w:val="16"/>
          <w:lang w:val="en-US"/>
        </w:rPr>
        <w:t>, Optics express, 19(9), 8045-8050, (2011)</w:t>
      </w:r>
    </w:p>
    <w:p w14:paraId="677881D1"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T. Woli</w:t>
      </w:r>
      <w:r w:rsidRPr="00364DEB">
        <w:rPr>
          <w:rFonts w:hint="eastAsia"/>
          <w:noProof/>
          <w:sz w:val="16"/>
          <w:szCs w:val="16"/>
          <w:lang w:val="en-US"/>
        </w:rPr>
        <w:t>ń</w:t>
      </w:r>
      <w:r w:rsidRPr="00364DEB">
        <w:rPr>
          <w:noProof/>
          <w:sz w:val="16"/>
          <w:szCs w:val="16"/>
          <w:lang w:val="en-US"/>
        </w:rPr>
        <w:t xml:space="preserve">ski et al.,"Photonic Liquid Crystal Fibers </w:t>
      </w:r>
      <w:r w:rsidRPr="00364DEB">
        <w:rPr>
          <w:rFonts w:hint="eastAsia"/>
          <w:noProof/>
          <w:sz w:val="16"/>
          <w:szCs w:val="16"/>
          <w:lang w:val="en-US"/>
        </w:rPr>
        <w:t>–</w:t>
      </w:r>
      <w:r w:rsidRPr="00364DEB">
        <w:rPr>
          <w:noProof/>
          <w:sz w:val="16"/>
          <w:szCs w:val="16"/>
          <w:lang w:val="en-US"/>
        </w:rPr>
        <w:t xml:space="preserve"> 15 years of research activities at Warsaw University of Technology", Phot. Lett. Pol., (11), (2), 22-24, (2019) https://doi.org/10.4302/plp.v11i2.907.</w:t>
      </w:r>
    </w:p>
    <w:p w14:paraId="15190A0B"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T.T. Larsen, A. Bjraklev, D.S. Hermann, J. Broeng, Opt. Expr. 11(20), 2589, (2003)</w:t>
      </w:r>
    </w:p>
    <w:p w14:paraId="7CA2F6AC"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T.R. Woli</w:t>
      </w:r>
      <w:r w:rsidRPr="00364DEB">
        <w:rPr>
          <w:rFonts w:hint="eastAsia"/>
          <w:noProof/>
          <w:sz w:val="16"/>
          <w:szCs w:val="16"/>
          <w:lang w:val="en-US"/>
        </w:rPr>
        <w:t>ń</w:t>
      </w:r>
      <w:r w:rsidRPr="00364DEB">
        <w:rPr>
          <w:noProof/>
          <w:sz w:val="16"/>
          <w:szCs w:val="16"/>
          <w:lang w:val="en-US"/>
        </w:rPr>
        <w:t>ski et al., Opto-Electron. Rev. 13(2), 59 (2005)</w:t>
      </w:r>
    </w:p>
    <w:p w14:paraId="12DE2AE9"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L. Scolari, S. Gauza, H. Xianyu, L. Zhai, L. Eskildsen, T. T. Alkeskjold, S.-T. Wu, and A. Bjarklev, "Frequency tunability of solid-core photonic crystal fibers filled with nanoparticle-doped liquid crystals," Opt. Express 17(5), 3754-3764 (2009).</w:t>
      </w:r>
    </w:p>
    <w:p w14:paraId="7020DB06"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A. Siarkowska, M. Chych</w:t>
      </w:r>
      <w:r w:rsidRPr="00364DEB">
        <w:rPr>
          <w:rFonts w:hint="eastAsia"/>
          <w:noProof/>
          <w:sz w:val="16"/>
          <w:szCs w:val="16"/>
          <w:lang w:val="en-US"/>
        </w:rPr>
        <w:t>ł</w:t>
      </w:r>
      <w:r w:rsidRPr="00364DEB">
        <w:rPr>
          <w:noProof/>
          <w:sz w:val="16"/>
          <w:szCs w:val="16"/>
          <w:lang w:val="en-US"/>
        </w:rPr>
        <w:t>owski, D. Budaszewski, B. Jankiewicz, B. Bartosewicz, and T. R. Woli</w:t>
      </w:r>
      <w:r w:rsidRPr="00364DEB">
        <w:rPr>
          <w:rFonts w:hint="eastAsia"/>
          <w:noProof/>
          <w:sz w:val="16"/>
          <w:szCs w:val="16"/>
          <w:lang w:val="en-US"/>
        </w:rPr>
        <w:t>ń</w:t>
      </w:r>
      <w:r w:rsidRPr="00364DEB">
        <w:rPr>
          <w:noProof/>
          <w:sz w:val="16"/>
          <w:szCs w:val="16"/>
          <w:lang w:val="en-US"/>
        </w:rPr>
        <w:t xml:space="preserve">ski, </w:t>
      </w:r>
      <w:r w:rsidRPr="00364DEB">
        <w:rPr>
          <w:rFonts w:hint="eastAsia"/>
          <w:noProof/>
          <w:sz w:val="16"/>
          <w:szCs w:val="16"/>
          <w:lang w:val="en-US"/>
        </w:rPr>
        <w:t>“</w:t>
      </w:r>
      <w:r w:rsidRPr="00364DEB">
        <w:rPr>
          <w:noProof/>
          <w:sz w:val="16"/>
          <w:szCs w:val="16"/>
          <w:lang w:val="en-US"/>
        </w:rPr>
        <w:t xml:space="preserve">Thermo-and electro-optical </w:t>
      </w:r>
      <w:r w:rsidRPr="00364DEB">
        <w:rPr>
          <w:noProof/>
          <w:sz w:val="16"/>
          <w:szCs w:val="16"/>
          <w:lang w:val="en-US"/>
        </w:rPr>
        <w:lastRenderedPageBreak/>
        <w:t>properties of photonic liquid crystal fibers doped with gold nanoparticles</w:t>
      </w:r>
      <w:r w:rsidRPr="00364DEB">
        <w:rPr>
          <w:rFonts w:hint="eastAsia"/>
          <w:noProof/>
          <w:sz w:val="16"/>
          <w:szCs w:val="16"/>
          <w:lang w:val="en-US"/>
        </w:rPr>
        <w:t>”</w:t>
      </w:r>
      <w:r w:rsidRPr="00364DEB">
        <w:rPr>
          <w:noProof/>
          <w:sz w:val="16"/>
          <w:szCs w:val="16"/>
          <w:lang w:val="en-US"/>
        </w:rPr>
        <w:t>, Beilstein Journal of Nanotechnology, 8(1), 2790-2801, (2017)</w:t>
      </w:r>
    </w:p>
    <w:p w14:paraId="377F5FBB"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D. Budaszewski, M. Chych</w:t>
      </w:r>
      <w:r w:rsidRPr="00364DEB">
        <w:rPr>
          <w:rFonts w:hint="eastAsia"/>
          <w:noProof/>
          <w:sz w:val="16"/>
          <w:szCs w:val="16"/>
          <w:lang w:val="en-US"/>
        </w:rPr>
        <w:t>ł</w:t>
      </w:r>
      <w:r w:rsidRPr="00364DEB">
        <w:rPr>
          <w:noProof/>
          <w:sz w:val="16"/>
          <w:szCs w:val="16"/>
          <w:lang w:val="en-US"/>
        </w:rPr>
        <w:t>owski, A. Budaszewska, B. Bartosewicz, B. Jankiewicz, and T. R. Woli</w:t>
      </w:r>
      <w:r w:rsidRPr="00364DEB">
        <w:rPr>
          <w:rFonts w:hint="eastAsia"/>
          <w:noProof/>
          <w:sz w:val="16"/>
          <w:szCs w:val="16"/>
          <w:lang w:val="en-US"/>
        </w:rPr>
        <w:t>ń</w:t>
      </w:r>
      <w:r w:rsidRPr="00364DEB">
        <w:rPr>
          <w:noProof/>
          <w:sz w:val="16"/>
          <w:szCs w:val="16"/>
          <w:lang w:val="en-US"/>
        </w:rPr>
        <w:t xml:space="preserve">ski, </w:t>
      </w:r>
      <w:r w:rsidRPr="00364DEB">
        <w:rPr>
          <w:rFonts w:hint="eastAsia"/>
          <w:noProof/>
          <w:sz w:val="16"/>
          <w:szCs w:val="16"/>
          <w:lang w:val="en-US"/>
        </w:rPr>
        <w:t>“</w:t>
      </w:r>
      <w:r w:rsidRPr="00364DEB">
        <w:rPr>
          <w:noProof/>
          <w:sz w:val="16"/>
          <w:szCs w:val="16"/>
          <w:lang w:val="en-US"/>
        </w:rPr>
        <w:t>Enhanced efficiency of electric field tunability in photonic liquid crystal fibers doped with gold nanoparticles</w:t>
      </w:r>
      <w:r w:rsidRPr="00364DEB">
        <w:rPr>
          <w:rFonts w:hint="eastAsia"/>
          <w:noProof/>
          <w:sz w:val="16"/>
          <w:szCs w:val="16"/>
          <w:lang w:val="en-US"/>
        </w:rPr>
        <w:t>”</w:t>
      </w:r>
      <w:r w:rsidRPr="00364DEB">
        <w:rPr>
          <w:noProof/>
          <w:sz w:val="16"/>
          <w:szCs w:val="16"/>
          <w:lang w:val="en-US"/>
        </w:rPr>
        <w:t>, Optics express, 27(10), 14260-14269, (2019)</w:t>
      </w:r>
    </w:p>
    <w:p w14:paraId="2C8847CD" w14:textId="77777777" w:rsidR="00364DEB" w:rsidRPr="00364DEB" w:rsidRDefault="00364DEB" w:rsidP="00364DEB">
      <w:pPr>
        <w:pStyle w:val="Tekstpodstawowyba"/>
        <w:numPr>
          <w:ilvl w:val="0"/>
          <w:numId w:val="19"/>
        </w:numPr>
        <w:tabs>
          <w:tab w:val="right" w:pos="426"/>
          <w:tab w:val="right" w:pos="8788"/>
        </w:tabs>
        <w:rPr>
          <w:noProof/>
          <w:sz w:val="16"/>
          <w:szCs w:val="16"/>
          <w:lang w:val="en-US"/>
        </w:rPr>
      </w:pPr>
      <w:r w:rsidRPr="00364DEB">
        <w:rPr>
          <w:noProof/>
          <w:sz w:val="16"/>
          <w:szCs w:val="16"/>
          <w:lang w:val="en-US"/>
        </w:rPr>
        <w:t>D. Budaszewski, A. Siarkowska, M. Chych</w:t>
      </w:r>
      <w:r w:rsidRPr="00364DEB">
        <w:rPr>
          <w:rFonts w:hint="eastAsia"/>
          <w:noProof/>
          <w:sz w:val="16"/>
          <w:szCs w:val="16"/>
          <w:lang w:val="en-US"/>
        </w:rPr>
        <w:t>ł</w:t>
      </w:r>
      <w:r w:rsidRPr="00364DEB">
        <w:rPr>
          <w:noProof/>
          <w:sz w:val="16"/>
          <w:szCs w:val="16"/>
          <w:lang w:val="en-US"/>
        </w:rPr>
        <w:t>owski, B. Jankiewicz, B. Bartosewicz, R. D</w:t>
      </w:r>
      <w:r w:rsidRPr="00364DEB">
        <w:rPr>
          <w:rFonts w:hint="eastAsia"/>
          <w:noProof/>
          <w:sz w:val="16"/>
          <w:szCs w:val="16"/>
          <w:lang w:val="en-US"/>
        </w:rPr>
        <w:t>ą</w:t>
      </w:r>
      <w:r w:rsidRPr="00364DEB">
        <w:rPr>
          <w:noProof/>
          <w:sz w:val="16"/>
          <w:szCs w:val="16"/>
          <w:lang w:val="en-US"/>
        </w:rPr>
        <w:t>browski, and T. R. Woli</w:t>
      </w:r>
      <w:r w:rsidRPr="00364DEB">
        <w:rPr>
          <w:rFonts w:hint="eastAsia"/>
          <w:noProof/>
          <w:sz w:val="16"/>
          <w:szCs w:val="16"/>
          <w:lang w:val="en-US"/>
        </w:rPr>
        <w:t>ń</w:t>
      </w:r>
      <w:r w:rsidRPr="00364DEB">
        <w:rPr>
          <w:noProof/>
          <w:sz w:val="16"/>
          <w:szCs w:val="16"/>
          <w:lang w:val="en-US"/>
        </w:rPr>
        <w:t xml:space="preserve">ski,  </w:t>
      </w:r>
      <w:r w:rsidRPr="00364DEB">
        <w:rPr>
          <w:rFonts w:hint="eastAsia"/>
          <w:noProof/>
          <w:sz w:val="16"/>
          <w:szCs w:val="16"/>
          <w:lang w:val="en-US"/>
        </w:rPr>
        <w:t>“</w:t>
      </w:r>
      <w:r w:rsidRPr="00364DEB">
        <w:rPr>
          <w:noProof/>
          <w:sz w:val="16"/>
          <w:szCs w:val="16"/>
          <w:lang w:val="en-US"/>
        </w:rPr>
        <w:t>Nanoparticles-enhanced photonic liquid crystal fibers</w:t>
      </w:r>
      <w:r w:rsidRPr="00364DEB">
        <w:rPr>
          <w:rFonts w:hint="eastAsia"/>
          <w:noProof/>
          <w:sz w:val="16"/>
          <w:szCs w:val="16"/>
          <w:lang w:val="en-US"/>
        </w:rPr>
        <w:t>”</w:t>
      </w:r>
      <w:r w:rsidRPr="00364DEB">
        <w:rPr>
          <w:noProof/>
          <w:sz w:val="16"/>
          <w:szCs w:val="16"/>
          <w:lang w:val="en-US"/>
        </w:rPr>
        <w:t>, Journal of Molecular Liquids, 267, 271-278, (2018)</w:t>
      </w:r>
    </w:p>
    <w:p w14:paraId="34FA352C" w14:textId="0337462A" w:rsidR="00EA1194" w:rsidRPr="00364DEB" w:rsidRDefault="00EA1194" w:rsidP="00A83064">
      <w:pPr>
        <w:pStyle w:val="Tekstpodstawowyba"/>
        <w:numPr>
          <w:ilvl w:val="0"/>
          <w:numId w:val="19"/>
        </w:numPr>
        <w:tabs>
          <w:tab w:val="right" w:pos="426"/>
          <w:tab w:val="right" w:pos="8788"/>
        </w:tabs>
        <w:spacing w:line="240" w:lineRule="auto"/>
        <w:jc w:val="left"/>
        <w:rPr>
          <w:noProof/>
          <w:sz w:val="16"/>
          <w:szCs w:val="16"/>
          <w:lang w:val="en-US"/>
        </w:rPr>
      </w:pPr>
    </w:p>
    <w:sectPr w:rsidR="00EA1194" w:rsidRPr="00364DEB" w:rsidSect="008B6649">
      <w:headerReference w:type="even" r:id="rId7"/>
      <w:headerReference w:type="default" r:id="rId8"/>
      <w:footerReference w:type="even" r:id="rId9"/>
      <w:footerReference w:type="default" r:id="rId10"/>
      <w:headerReference w:type="first" r:id="rId11"/>
      <w:footerReference w:type="first" r:id="rId12"/>
      <w:footnotePr>
        <w:pos w:val="beneathText"/>
        <w:numFmt w:val="chicago"/>
      </w:footnotePr>
      <w:pgSz w:w="11907" w:h="16840" w:code="9"/>
      <w:pgMar w:top="1985" w:right="1134" w:bottom="1843" w:left="1134" w:header="1418" w:footer="1418"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B992A" w14:textId="77777777" w:rsidR="00A454F4" w:rsidRDefault="00A454F4">
      <w:r>
        <w:separator/>
      </w:r>
    </w:p>
  </w:endnote>
  <w:endnote w:type="continuationSeparator" w:id="0">
    <w:p w14:paraId="386C1F8A" w14:textId="77777777" w:rsidR="00A454F4" w:rsidRDefault="00A4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żyj czcionki tekstu azjatycki">
    <w:altName w:val="Cambria"/>
    <w:charset w:val="00"/>
    <w:family w:val="roman"/>
    <w:pitch w:val="default"/>
  </w:font>
  <w:font w:name="Tahoma">
    <w:panose1 w:val="020B0604030504040204"/>
    <w:charset w:val="EE"/>
    <w:family w:val="swiss"/>
    <w:pitch w:val="variable"/>
    <w:sig w:usb0="E1002EFF" w:usb1="C000605B" w:usb2="00000029" w:usb3="00000000" w:csb0="000101FF" w:csb1="00000000"/>
  </w:font>
  <w:font w:name="Baskerville">
    <w:charset w:val="00"/>
    <w:family w:val="auto"/>
    <w:pitch w:val="variable"/>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52AC2" w14:textId="77777777" w:rsidR="008B6649" w:rsidRDefault="008B66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E9FC7" w14:textId="77777777" w:rsidR="00C67116" w:rsidRPr="001342F9" w:rsidRDefault="00DA7392" w:rsidP="00DA7392">
    <w:pPr>
      <w:pStyle w:val="Stopka"/>
      <w:tabs>
        <w:tab w:val="clear" w:pos="4320"/>
        <w:tab w:val="clear" w:pos="8640"/>
        <w:tab w:val="right" w:pos="9639"/>
      </w:tabs>
      <w:rPr>
        <w:rFonts w:ascii="Times New Roman" w:hAnsi="Times New Roman"/>
      </w:rPr>
    </w:pPr>
    <w:r>
      <w:rPr>
        <w:rFonts w:ascii="Times New Roman" w:hAnsi="Times New Roman"/>
      </w:rPr>
      <w:t>http://www.photonics.pl</w:t>
    </w:r>
    <w:r w:rsidR="004001B3">
      <w:rPr>
        <w:rFonts w:ascii="Times New Roman" w:hAnsi="Times New Roman"/>
      </w:rPr>
      <w:t>/PLP</w:t>
    </w:r>
    <w:r>
      <w:rPr>
        <w:rFonts w:ascii="Times New Roman" w:hAnsi="Times New Roman"/>
      </w:rPr>
      <w:tab/>
    </w:r>
    <w:r w:rsidR="001342F9" w:rsidRPr="001342F9">
      <w:rPr>
        <w:rFonts w:ascii="Times New Roman" w:hAnsi="Times New Roman"/>
      </w:rPr>
      <w:t xml:space="preserve">© </w:t>
    </w:r>
    <w:r w:rsidR="00620D38">
      <w:rPr>
        <w:rFonts w:ascii="Times New Roman" w:hAnsi="Times New Roman"/>
      </w:rPr>
      <w:t xml:space="preserve">2009 </w:t>
    </w:r>
    <w:r w:rsidR="00C67116" w:rsidRPr="001342F9">
      <w:rPr>
        <w:rFonts w:ascii="Times New Roman" w:hAnsi="Times New Roman"/>
      </w:rPr>
      <w:t>Phot</w:t>
    </w:r>
    <w:r w:rsidR="001342F9" w:rsidRPr="001342F9">
      <w:rPr>
        <w:rFonts w:ascii="Times New Roman" w:hAnsi="Times New Roman"/>
      </w:rPr>
      <w:t>onics</w:t>
    </w:r>
    <w:r w:rsidR="00C67116" w:rsidRPr="001342F9">
      <w:rPr>
        <w:rFonts w:ascii="Times New Roman" w:hAnsi="Times New Roman"/>
      </w:rPr>
      <w:t xml:space="preserve"> </w:t>
    </w:r>
    <w:r w:rsidR="001342F9" w:rsidRPr="001342F9">
      <w:rPr>
        <w:rFonts w:ascii="Times New Roman" w:hAnsi="Times New Roman"/>
      </w:rPr>
      <w:t>Soc</w:t>
    </w:r>
    <w:r w:rsidR="001342F9">
      <w:rPr>
        <w:rFonts w:ascii="Times New Roman" w:hAnsi="Times New Roman"/>
      </w:rPr>
      <w:t>i</w:t>
    </w:r>
    <w:r w:rsidR="001342F9" w:rsidRPr="001342F9">
      <w:rPr>
        <w:rFonts w:ascii="Times New Roman" w:hAnsi="Times New Roman"/>
      </w:rPr>
      <w:t xml:space="preserve">ety of </w:t>
    </w:r>
    <w:smartTag w:uri="urn:schemas-microsoft-com:office:smarttags" w:element="place">
      <w:smartTag w:uri="urn:schemas-microsoft-com:office:smarttags" w:element="country-region">
        <w:r w:rsidR="00C67116" w:rsidRPr="001342F9">
          <w:rPr>
            <w:rFonts w:ascii="Times New Roman" w:hAnsi="Times New Roman"/>
          </w:rPr>
          <w:t>Poland</w:t>
        </w:r>
      </w:smartTag>
    </w:smartTag>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7DFA6" w14:textId="77777777" w:rsidR="008B6649" w:rsidRDefault="008B66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98F15" w14:textId="77777777" w:rsidR="00A454F4" w:rsidRDefault="00A454F4"/>
  </w:footnote>
  <w:footnote w:type="continuationSeparator" w:id="0">
    <w:p w14:paraId="417DF67D" w14:textId="77777777" w:rsidR="00A454F4" w:rsidRDefault="00A45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41891" w14:textId="77777777" w:rsidR="008B6649" w:rsidRDefault="008B66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A518F" w14:textId="77777777" w:rsidR="00E97402" w:rsidRPr="00DA7392" w:rsidRDefault="00E97402">
    <w:pPr>
      <w:framePr w:wrap="auto" w:vAnchor="text" w:hAnchor="margin" w:xAlign="right" w:y="1"/>
      <w:rPr>
        <w:b/>
      </w:rPr>
    </w:pPr>
    <w:r w:rsidRPr="00DA7392">
      <w:rPr>
        <w:b/>
      </w:rPr>
      <w:fldChar w:fldCharType="begin"/>
    </w:r>
    <w:r w:rsidRPr="00DA7392">
      <w:rPr>
        <w:b/>
      </w:rPr>
      <w:instrText xml:space="preserve">PAGE  </w:instrText>
    </w:r>
    <w:r w:rsidRPr="00DA7392">
      <w:rPr>
        <w:b/>
      </w:rPr>
      <w:fldChar w:fldCharType="separate"/>
    </w:r>
    <w:r w:rsidR="008B6649">
      <w:rPr>
        <w:b/>
        <w:noProof/>
      </w:rPr>
      <w:t>1</w:t>
    </w:r>
    <w:r w:rsidRPr="00DA7392">
      <w:rPr>
        <w:b/>
      </w:rPr>
      <w:fldChar w:fldCharType="end"/>
    </w:r>
  </w:p>
  <w:p w14:paraId="57F7BC21" w14:textId="77777777" w:rsidR="00E97402" w:rsidRPr="0007554E" w:rsidRDefault="008B6649" w:rsidP="00833270">
    <w:pPr>
      <w:pBdr>
        <w:bottom w:val="single" w:sz="4" w:space="1" w:color="auto"/>
      </w:pBdr>
      <w:tabs>
        <w:tab w:val="center" w:pos="4820"/>
      </w:tabs>
      <w:rPr>
        <w:rFonts w:ascii="Times New Roman" w:hAnsi="Times New Roman"/>
        <w:smallCaps/>
      </w:rPr>
    </w:pPr>
    <w:proofErr w:type="spellStart"/>
    <w:r>
      <w:rPr>
        <w:sz w:val="16"/>
        <w:szCs w:val="16"/>
      </w:rPr>
      <w:t>doi</w:t>
    </w:r>
    <w:proofErr w:type="spellEnd"/>
    <w:r>
      <w:rPr>
        <w:sz w:val="16"/>
        <w:szCs w:val="16"/>
      </w:rPr>
      <w:t>: 10.4302/plp.v11i4.ZZZ</w:t>
    </w:r>
    <w:r w:rsidR="00833270">
      <w:rPr>
        <w:rFonts w:ascii="Times New Roman" w:hAnsi="Times New Roman"/>
        <w:smallCaps/>
      </w:rPr>
      <w:tab/>
    </w:r>
    <w:r w:rsidR="005D348E" w:rsidRPr="00B47B1C">
      <w:rPr>
        <w:rFonts w:ascii="Times New Roman" w:hAnsi="Times New Roman"/>
        <w:smallCaps/>
      </w:rPr>
      <w:t xml:space="preserve">Photonics Letters of </w:t>
    </w:r>
    <w:smartTag w:uri="urn:schemas-microsoft-com:office:smarttags" w:element="place">
      <w:smartTag w:uri="urn:schemas-microsoft-com:office:smarttags" w:element="country-region">
        <w:r w:rsidR="005D348E" w:rsidRPr="00B47B1C">
          <w:rPr>
            <w:rFonts w:ascii="Times New Roman" w:hAnsi="Times New Roman"/>
            <w:smallCaps/>
          </w:rPr>
          <w:t>Poland</w:t>
        </w:r>
      </w:smartTag>
    </w:smartTag>
    <w:r w:rsidR="001342F9">
      <w:rPr>
        <w:rFonts w:ascii="Times New Roman" w:hAnsi="Times New Roman"/>
        <w:smallCaps/>
      </w:rPr>
      <w:t xml:space="preserve">, vol. </w:t>
    </w:r>
    <w:r>
      <w:rPr>
        <w:rFonts w:ascii="Times New Roman" w:hAnsi="Times New Roman"/>
        <w:b/>
        <w:smallCaps/>
      </w:rPr>
      <w:t>11</w:t>
    </w:r>
    <w:r w:rsidR="001342F9">
      <w:rPr>
        <w:rFonts w:ascii="Times New Roman" w:hAnsi="Times New Roman"/>
        <w:smallCaps/>
      </w:rPr>
      <w:t xml:space="preserve"> (</w:t>
    </w:r>
    <w:r>
      <w:rPr>
        <w:rFonts w:ascii="Times New Roman" w:hAnsi="Times New Roman"/>
        <w:smallCaps/>
      </w:rPr>
      <w:t>4</w:t>
    </w:r>
    <w:r w:rsidR="001342F9">
      <w:rPr>
        <w:rFonts w:ascii="Times New Roman" w:hAnsi="Times New Roman"/>
        <w:smallCaps/>
      </w:rPr>
      <w:t xml:space="preserve">), </w:t>
    </w:r>
    <w:r w:rsidR="00EA1194">
      <w:rPr>
        <w:rFonts w:ascii="Times New Roman" w:hAnsi="Times New Roman"/>
        <w:smallCaps/>
      </w:rPr>
      <w:t>xx</w:t>
    </w:r>
    <w:r w:rsidR="00EA1194">
      <w:rPr>
        <w:rFonts w:ascii="Times New Roman" w:hAnsi="Times New Roman"/>
        <w:smallCaps/>
      </w:rPr>
      <w:noBreakHyphen/>
      <w:t>xx</w:t>
    </w:r>
    <w:r w:rsidR="001342F9">
      <w:rPr>
        <w:rFonts w:ascii="Times New Roman" w:hAnsi="Times New Roman"/>
        <w:smallCaps/>
      </w:rPr>
      <w:t xml:space="preserve"> (20</w:t>
    </w:r>
    <w:r w:rsidR="00833270">
      <w:rPr>
        <w:rFonts w:ascii="Times New Roman" w:hAnsi="Times New Roman"/>
        <w:smallCaps/>
      </w:rPr>
      <w:t>1</w:t>
    </w:r>
    <w:r>
      <w:rPr>
        <w:rFonts w:ascii="Times New Roman" w:hAnsi="Times New Roman"/>
        <w:smallCaps/>
      </w:rPr>
      <w:t>9</w:t>
    </w:r>
    <w:r w:rsidR="001342F9">
      <w:rPr>
        <w:rFonts w:ascii="Times New Roman" w:hAnsi="Times New Roman"/>
        <w:smallCap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B5F1D" w14:textId="77777777" w:rsidR="008B6649" w:rsidRDefault="008B66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B"/>
    <w:multiLevelType w:val="multilevel"/>
    <w:tmpl w:val="2E085744"/>
    <w:lvl w:ilvl="0">
      <w:start w:val="1"/>
      <w:numFmt w:val="upperRoman"/>
      <w:pStyle w:val="Nagwek1"/>
      <w:lvlText w:val="%1."/>
      <w:legacy w:legacy="1" w:legacySpace="144" w:legacyIndent="144"/>
      <w:lvlJc w:val="left"/>
    </w:lvl>
    <w:lvl w:ilvl="1">
      <w:start w:val="1"/>
      <w:numFmt w:val="upperLetter"/>
      <w:pStyle w:val="Nagwek2"/>
      <w:lvlText w:val="%2."/>
      <w:legacy w:legacy="1" w:legacySpace="144" w:legacyIndent="144"/>
      <w:lvlJc w:val="left"/>
    </w:lvl>
    <w:lvl w:ilvl="2">
      <w:start w:val="1"/>
      <w:numFmt w:val="decimal"/>
      <w:pStyle w:val="Nagwek3"/>
      <w:lvlText w:val="%3)"/>
      <w:legacy w:legacy="1" w:legacySpace="144" w:legacyIndent="144"/>
      <w:lvlJc w:val="left"/>
    </w:lvl>
    <w:lvl w:ilvl="3">
      <w:start w:val="1"/>
      <w:numFmt w:val="lowerLetter"/>
      <w:pStyle w:val="Nagwek4"/>
      <w:lvlText w:val="%4)"/>
      <w:legacy w:legacy="1" w:legacySpace="0" w:legacyIndent="720"/>
      <w:lvlJc w:val="left"/>
      <w:pPr>
        <w:ind w:left="1152" w:hanging="720"/>
      </w:pPr>
    </w:lvl>
    <w:lvl w:ilvl="4">
      <w:start w:val="1"/>
      <w:numFmt w:val="decimal"/>
      <w:pStyle w:val="Nagwek5"/>
      <w:lvlText w:val="(%5)"/>
      <w:legacy w:legacy="1" w:legacySpace="0" w:legacyIndent="720"/>
      <w:lvlJc w:val="left"/>
      <w:pPr>
        <w:ind w:left="1872" w:hanging="720"/>
      </w:pPr>
    </w:lvl>
    <w:lvl w:ilvl="5">
      <w:start w:val="1"/>
      <w:numFmt w:val="lowerLetter"/>
      <w:pStyle w:val="Nagwek6"/>
      <w:lvlText w:val="(%6)"/>
      <w:legacy w:legacy="1" w:legacySpace="0" w:legacyIndent="720"/>
      <w:lvlJc w:val="left"/>
      <w:pPr>
        <w:ind w:left="2592" w:hanging="720"/>
      </w:pPr>
    </w:lvl>
    <w:lvl w:ilvl="6">
      <w:start w:val="1"/>
      <w:numFmt w:val="lowerRoman"/>
      <w:pStyle w:val="Nagwek7"/>
      <w:lvlText w:val="(%7)"/>
      <w:legacy w:legacy="1" w:legacySpace="0" w:legacyIndent="720"/>
      <w:lvlJc w:val="left"/>
      <w:pPr>
        <w:ind w:left="3312" w:hanging="720"/>
      </w:pPr>
    </w:lvl>
    <w:lvl w:ilvl="7">
      <w:start w:val="1"/>
      <w:numFmt w:val="lowerLetter"/>
      <w:pStyle w:val="Nagwek8"/>
      <w:lvlText w:val="(%8)"/>
      <w:legacy w:legacy="1" w:legacySpace="0" w:legacyIndent="720"/>
      <w:lvlJc w:val="left"/>
      <w:pPr>
        <w:ind w:left="4032" w:hanging="720"/>
      </w:pPr>
    </w:lvl>
    <w:lvl w:ilvl="8">
      <w:start w:val="1"/>
      <w:numFmt w:val="lowerRoman"/>
      <w:pStyle w:val="Nagwek9"/>
      <w:lvlText w:val="(%9)"/>
      <w:legacy w:legacy="1" w:legacySpace="0" w:legacyIndent="720"/>
      <w:lvlJc w:val="left"/>
      <w:pPr>
        <w:ind w:left="4752" w:hanging="720"/>
      </w:pPr>
    </w:lvl>
  </w:abstractNum>
  <w:abstractNum w:abstractNumId="1" w15:restartNumberingAfterBreak="0">
    <w:nsid w:val="06DA074F"/>
    <w:multiLevelType w:val="hybridMultilevel"/>
    <w:tmpl w:val="9FA27F92"/>
    <w:lvl w:ilvl="0" w:tplc="F468CEEA">
      <w:start w:val="1"/>
      <w:numFmt w:val="decimal"/>
      <w:lvlText w:val="%1."/>
      <w:lvlJc w:val="left"/>
      <w:pPr>
        <w:tabs>
          <w:tab w:val="num" w:pos="502"/>
        </w:tabs>
        <w:ind w:left="502" w:hanging="360"/>
      </w:pPr>
      <w:rPr>
        <w:rFonts w:hint="default"/>
      </w:rPr>
    </w:lvl>
    <w:lvl w:ilvl="1" w:tplc="3B92A7E4">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AB12C04"/>
    <w:multiLevelType w:val="singleLevel"/>
    <w:tmpl w:val="A4862722"/>
    <w:lvl w:ilvl="0">
      <w:start w:val="1"/>
      <w:numFmt w:val="bullet"/>
      <w:lvlText w:val=""/>
      <w:lvlJc w:val="left"/>
      <w:pPr>
        <w:tabs>
          <w:tab w:val="num" w:pos="530"/>
        </w:tabs>
        <w:ind w:left="510" w:hanging="340"/>
      </w:pPr>
      <w:rPr>
        <w:rFonts w:ascii="Symbol" w:hAnsi="Symbol" w:hint="default"/>
      </w:rPr>
    </w:lvl>
  </w:abstractNum>
  <w:abstractNum w:abstractNumId="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3"/>
  </w:num>
  <w:num w:numId="14">
    <w:abstractNumId w:val="11"/>
  </w:num>
  <w:num w:numId="15">
    <w:abstractNumId w:val="10"/>
  </w:num>
  <w:num w:numId="16">
    <w:abstractNumId w:val="13"/>
  </w:num>
  <w:num w:numId="17">
    <w:abstractNumId w:val="5"/>
  </w:num>
  <w:num w:numId="18">
    <w:abstractNumId w:val="4"/>
  </w:num>
  <w:num w:numId="19">
    <w:abstractNumId w:val="12"/>
  </w:num>
  <w:num w:numId="20">
    <w:abstractNumId w:val="8"/>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pos w:val="beneathText"/>
    <w:numFmt w:val="chicago"/>
    <w:footnote w:id="-1"/>
    <w:footnote w:id="0"/>
  </w:footnotePr>
  <w:endnotePr>
    <w:endnote w:id="-1"/>
    <w:endnote w:id="0"/>
  </w:endnotePr>
  <w:compat>
    <w:lineWrapLikeWord6/>
    <w:printColBlack/>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35B"/>
    <w:rsid w:val="0003074F"/>
    <w:rsid w:val="0007554E"/>
    <w:rsid w:val="0011588C"/>
    <w:rsid w:val="00132434"/>
    <w:rsid w:val="001342F9"/>
    <w:rsid w:val="00144E72"/>
    <w:rsid w:val="00151920"/>
    <w:rsid w:val="00195BB1"/>
    <w:rsid w:val="001B151C"/>
    <w:rsid w:val="001D1B64"/>
    <w:rsid w:val="002434A1"/>
    <w:rsid w:val="00244D94"/>
    <w:rsid w:val="00263600"/>
    <w:rsid w:val="00330CF3"/>
    <w:rsid w:val="00360269"/>
    <w:rsid w:val="00364DEB"/>
    <w:rsid w:val="003C376D"/>
    <w:rsid w:val="004001B3"/>
    <w:rsid w:val="004058FA"/>
    <w:rsid w:val="0043144F"/>
    <w:rsid w:val="00431BFA"/>
    <w:rsid w:val="00434F74"/>
    <w:rsid w:val="00460451"/>
    <w:rsid w:val="004619F9"/>
    <w:rsid w:val="004631BC"/>
    <w:rsid w:val="004A2788"/>
    <w:rsid w:val="004C14B5"/>
    <w:rsid w:val="004C1E16"/>
    <w:rsid w:val="0051360D"/>
    <w:rsid w:val="0051476F"/>
    <w:rsid w:val="005515EB"/>
    <w:rsid w:val="005854E7"/>
    <w:rsid w:val="005A2A15"/>
    <w:rsid w:val="005D348E"/>
    <w:rsid w:val="00620D38"/>
    <w:rsid w:val="00622942"/>
    <w:rsid w:val="00625E96"/>
    <w:rsid w:val="0068203A"/>
    <w:rsid w:val="00692513"/>
    <w:rsid w:val="00722678"/>
    <w:rsid w:val="0073761F"/>
    <w:rsid w:val="0074443E"/>
    <w:rsid w:val="0077676F"/>
    <w:rsid w:val="007C4336"/>
    <w:rsid w:val="00833270"/>
    <w:rsid w:val="0087792E"/>
    <w:rsid w:val="00890293"/>
    <w:rsid w:val="008B6649"/>
    <w:rsid w:val="008E37A0"/>
    <w:rsid w:val="00926D1F"/>
    <w:rsid w:val="00993CB5"/>
    <w:rsid w:val="00A3477B"/>
    <w:rsid w:val="00A454F4"/>
    <w:rsid w:val="00A83064"/>
    <w:rsid w:val="00AA64DF"/>
    <w:rsid w:val="00B20BA1"/>
    <w:rsid w:val="00B47B1C"/>
    <w:rsid w:val="00B52E36"/>
    <w:rsid w:val="00C63999"/>
    <w:rsid w:val="00C67116"/>
    <w:rsid w:val="00CB4B8D"/>
    <w:rsid w:val="00D07C87"/>
    <w:rsid w:val="00D15690"/>
    <w:rsid w:val="00D40C1B"/>
    <w:rsid w:val="00D56935"/>
    <w:rsid w:val="00D758C6"/>
    <w:rsid w:val="00D87350"/>
    <w:rsid w:val="00DA7392"/>
    <w:rsid w:val="00DF2DDE"/>
    <w:rsid w:val="00E50DF6"/>
    <w:rsid w:val="00E97402"/>
    <w:rsid w:val="00EA1194"/>
    <w:rsid w:val="00EB41A0"/>
    <w:rsid w:val="00EC1971"/>
    <w:rsid w:val="00F112C3"/>
    <w:rsid w:val="00F1486A"/>
    <w:rsid w:val="00F30861"/>
    <w:rsid w:val="00F4515B"/>
    <w:rsid w:val="00F65266"/>
    <w:rsid w:val="00F67E8D"/>
    <w:rsid w:val="00F93B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31"/>
    <o:shapelayout v:ext="edit">
      <o:idmap v:ext="edit" data="1"/>
    </o:shapelayout>
  </w:shapeDefaults>
  <w:decimalSymbol w:val=","/>
  <w:listSeparator w:val=";"/>
  <w14:docId w14:val="5E43E43F"/>
  <w15:chartTrackingRefBased/>
  <w15:docId w15:val="{EE2B8CF2-4DB1-4613-9471-D6DF55C8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autoSpaceDE w:val="0"/>
      <w:autoSpaceDN w:val="0"/>
    </w:pPr>
    <w:rPr>
      <w:rFonts w:ascii="(Użyj czcionki tekstu azjatycki" w:hAnsi="(Użyj czcionki tekstu azjatycki"/>
      <w:lang w:val="en-US" w:eastAsia="en-US"/>
    </w:rPr>
  </w:style>
  <w:style w:type="paragraph" w:styleId="Nagwek1">
    <w:name w:val="heading 1"/>
    <w:basedOn w:val="Normalny"/>
    <w:next w:val="Normalny"/>
    <w:qFormat/>
    <w:pPr>
      <w:keepNext/>
      <w:numPr>
        <w:numId w:val="1"/>
      </w:numPr>
      <w:spacing w:before="240" w:after="80"/>
      <w:jc w:val="center"/>
      <w:outlineLvl w:val="0"/>
    </w:pPr>
    <w:rPr>
      <w:smallCaps/>
      <w:kern w:val="28"/>
    </w:rPr>
  </w:style>
  <w:style w:type="paragraph" w:styleId="Nagwek2">
    <w:name w:val="heading 2"/>
    <w:basedOn w:val="Normalny"/>
    <w:next w:val="Normalny"/>
    <w:qFormat/>
    <w:pPr>
      <w:keepNext/>
      <w:numPr>
        <w:ilvl w:val="1"/>
        <w:numId w:val="1"/>
      </w:numPr>
      <w:spacing w:before="120" w:after="60"/>
      <w:ind w:left="144"/>
      <w:outlineLvl w:val="1"/>
    </w:pPr>
    <w:rPr>
      <w:i/>
      <w:iCs/>
    </w:rPr>
  </w:style>
  <w:style w:type="paragraph" w:styleId="Nagwek3">
    <w:name w:val="heading 3"/>
    <w:basedOn w:val="Normalny"/>
    <w:next w:val="Normalny"/>
    <w:qFormat/>
    <w:pPr>
      <w:keepNext/>
      <w:numPr>
        <w:ilvl w:val="2"/>
        <w:numId w:val="1"/>
      </w:numPr>
      <w:ind w:left="288"/>
      <w:outlineLvl w:val="2"/>
    </w:pPr>
    <w:rPr>
      <w:i/>
      <w:iCs/>
    </w:rPr>
  </w:style>
  <w:style w:type="paragraph" w:styleId="Nagwek4">
    <w:name w:val="heading 4"/>
    <w:basedOn w:val="Normalny"/>
    <w:next w:val="Normalny"/>
    <w:qFormat/>
    <w:pPr>
      <w:keepNext/>
      <w:numPr>
        <w:ilvl w:val="3"/>
        <w:numId w:val="1"/>
      </w:numPr>
      <w:spacing w:before="240" w:after="60"/>
      <w:outlineLvl w:val="3"/>
    </w:pPr>
    <w:rPr>
      <w:i/>
      <w:iCs/>
      <w:sz w:val="18"/>
      <w:szCs w:val="18"/>
    </w:rPr>
  </w:style>
  <w:style w:type="paragraph" w:styleId="Nagwek5">
    <w:name w:val="heading 5"/>
    <w:basedOn w:val="Normalny"/>
    <w:next w:val="Normalny"/>
    <w:qFormat/>
    <w:pPr>
      <w:numPr>
        <w:ilvl w:val="4"/>
        <w:numId w:val="1"/>
      </w:numPr>
      <w:spacing w:before="240" w:after="60"/>
      <w:outlineLvl w:val="4"/>
    </w:pPr>
    <w:rPr>
      <w:sz w:val="18"/>
      <w:szCs w:val="18"/>
    </w:rPr>
  </w:style>
  <w:style w:type="paragraph" w:styleId="Nagwek6">
    <w:name w:val="heading 6"/>
    <w:basedOn w:val="Normalny"/>
    <w:next w:val="Normalny"/>
    <w:qFormat/>
    <w:pPr>
      <w:numPr>
        <w:ilvl w:val="5"/>
        <w:numId w:val="1"/>
      </w:numPr>
      <w:spacing w:before="240" w:after="60"/>
      <w:outlineLvl w:val="5"/>
    </w:pPr>
    <w:rPr>
      <w:i/>
      <w:iCs/>
      <w:sz w:val="16"/>
      <w:szCs w:val="16"/>
    </w:rPr>
  </w:style>
  <w:style w:type="paragraph" w:styleId="Nagwek7">
    <w:name w:val="heading 7"/>
    <w:basedOn w:val="Normalny"/>
    <w:next w:val="Normalny"/>
    <w:qFormat/>
    <w:pPr>
      <w:numPr>
        <w:ilvl w:val="6"/>
        <w:numId w:val="1"/>
      </w:numPr>
      <w:spacing w:before="240" w:after="60"/>
      <w:outlineLvl w:val="6"/>
    </w:pPr>
    <w:rPr>
      <w:sz w:val="16"/>
      <w:szCs w:val="16"/>
    </w:rPr>
  </w:style>
  <w:style w:type="paragraph" w:styleId="Nagwek8">
    <w:name w:val="heading 8"/>
    <w:basedOn w:val="Normalny"/>
    <w:next w:val="Normalny"/>
    <w:qFormat/>
    <w:pPr>
      <w:numPr>
        <w:ilvl w:val="7"/>
        <w:numId w:val="1"/>
      </w:numPr>
      <w:spacing w:before="240" w:after="60"/>
      <w:outlineLvl w:val="7"/>
    </w:pPr>
    <w:rPr>
      <w:i/>
      <w:iCs/>
      <w:sz w:val="16"/>
      <w:szCs w:val="16"/>
    </w:rPr>
  </w:style>
  <w:style w:type="paragraph" w:styleId="Nagwek9">
    <w:name w:val="heading 9"/>
    <w:basedOn w:val="Normalny"/>
    <w:next w:val="Normalny"/>
    <w:qFormat/>
    <w:pPr>
      <w:numPr>
        <w:ilvl w:val="8"/>
        <w:numId w:val="1"/>
      </w:numPr>
      <w:spacing w:before="240" w:after="60"/>
      <w:outlineLvl w:val="8"/>
    </w:pPr>
    <w:rPr>
      <w:sz w:val="16"/>
      <w:szCs w:val="1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Abstract">
    <w:name w:val="Abstract"/>
    <w:basedOn w:val="Normalny"/>
    <w:next w:val="Normalny"/>
    <w:rsid w:val="00B47B1C"/>
    <w:pPr>
      <w:spacing w:before="20"/>
      <w:ind w:firstLine="202"/>
      <w:jc w:val="both"/>
    </w:pPr>
    <w:rPr>
      <w:bCs/>
    </w:rPr>
  </w:style>
  <w:style w:type="paragraph" w:customStyle="1" w:styleId="Authors">
    <w:name w:val="Authors"/>
    <w:basedOn w:val="Normalny"/>
    <w:next w:val="Normalny"/>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ytu">
    <w:name w:val="Title"/>
    <w:basedOn w:val="Normalny"/>
    <w:next w:val="Normalny"/>
    <w:qFormat/>
    <w:pPr>
      <w:framePr w:w="9360" w:hSpace="187" w:vSpace="187" w:wrap="notBeside" w:vAnchor="text" w:hAnchor="page" w:xAlign="center" w:y="1"/>
      <w:jc w:val="center"/>
    </w:pPr>
    <w:rPr>
      <w:kern w:val="28"/>
      <w:sz w:val="48"/>
      <w:szCs w:val="48"/>
    </w:rPr>
  </w:style>
  <w:style w:type="paragraph" w:styleId="Tekstprzypisudolnego">
    <w:name w:val="footnote text"/>
    <w:basedOn w:val="Normalny"/>
    <w:semiHidden/>
    <w:pPr>
      <w:ind w:firstLine="202"/>
      <w:jc w:val="both"/>
    </w:pPr>
    <w:rPr>
      <w:sz w:val="16"/>
      <w:szCs w:val="16"/>
    </w:rPr>
  </w:style>
  <w:style w:type="paragraph" w:customStyle="1" w:styleId="References">
    <w:name w:val="References"/>
    <w:basedOn w:val="Normalny"/>
    <w:pPr>
      <w:numPr>
        <w:numId w:val="12"/>
      </w:numPr>
      <w:jc w:val="both"/>
    </w:pPr>
    <w:rPr>
      <w:sz w:val="16"/>
      <w:szCs w:val="16"/>
    </w:rPr>
  </w:style>
  <w:style w:type="paragraph" w:customStyle="1" w:styleId="IndexTerms">
    <w:name w:val="IndexTerms"/>
    <w:basedOn w:val="Normalny"/>
    <w:next w:val="Normalny"/>
    <w:pPr>
      <w:ind w:firstLine="202"/>
      <w:jc w:val="both"/>
    </w:pPr>
    <w:rPr>
      <w:b/>
      <w:bCs/>
      <w:sz w:val="18"/>
      <w:szCs w:val="18"/>
    </w:rPr>
  </w:style>
  <w:style w:type="character" w:styleId="Odwoanieprzypisudolnego">
    <w:name w:val="footnote reference"/>
    <w:semiHidden/>
    <w:rPr>
      <w:vertAlign w:val="superscript"/>
    </w:rPr>
  </w:style>
  <w:style w:type="paragraph" w:styleId="Stopka">
    <w:name w:val="footer"/>
    <w:basedOn w:val="Normalny"/>
    <w:pPr>
      <w:tabs>
        <w:tab w:val="center" w:pos="4320"/>
        <w:tab w:val="right" w:pos="8640"/>
      </w:tabs>
    </w:pPr>
  </w:style>
  <w:style w:type="paragraph" w:customStyle="1" w:styleId="Text">
    <w:name w:val="Text"/>
    <w:basedOn w:val="Normalny"/>
    <w:pPr>
      <w:widowControl w:val="0"/>
      <w:spacing w:line="252" w:lineRule="auto"/>
      <w:ind w:firstLine="202"/>
      <w:jc w:val="both"/>
    </w:pPr>
  </w:style>
  <w:style w:type="paragraph" w:customStyle="1" w:styleId="FigureCaption">
    <w:name w:val="Figure Caption"/>
    <w:basedOn w:val="Normalny"/>
    <w:pPr>
      <w:jc w:val="both"/>
    </w:pPr>
    <w:rPr>
      <w:sz w:val="16"/>
      <w:szCs w:val="16"/>
    </w:rPr>
  </w:style>
  <w:style w:type="paragraph" w:customStyle="1" w:styleId="TableTitle">
    <w:name w:val="Table Title"/>
    <w:basedOn w:val="Normalny"/>
    <w:pPr>
      <w:jc w:val="center"/>
    </w:pPr>
    <w:rPr>
      <w:smallCaps/>
      <w:sz w:val="16"/>
      <w:szCs w:val="16"/>
    </w:rPr>
  </w:style>
  <w:style w:type="paragraph" w:customStyle="1" w:styleId="ReferenceHead">
    <w:name w:val="Reference Head"/>
    <w:basedOn w:val="Nagwek1"/>
    <w:pPr>
      <w:numPr>
        <w:numId w:val="0"/>
      </w:numPr>
    </w:pPr>
  </w:style>
  <w:style w:type="paragraph" w:styleId="Nagwek">
    <w:name w:val="header"/>
    <w:basedOn w:val="Normalny"/>
    <w:pPr>
      <w:tabs>
        <w:tab w:val="center" w:pos="4320"/>
        <w:tab w:val="right" w:pos="8640"/>
      </w:tabs>
    </w:pPr>
  </w:style>
  <w:style w:type="paragraph" w:customStyle="1" w:styleId="Equation">
    <w:name w:val="Equation"/>
    <w:basedOn w:val="Normalny"/>
    <w:next w:val="Normalny"/>
    <w:pPr>
      <w:widowControl w:val="0"/>
      <w:tabs>
        <w:tab w:val="right" w:pos="5040"/>
      </w:tabs>
      <w:spacing w:line="252" w:lineRule="auto"/>
      <w:jc w:val="both"/>
    </w:pPr>
  </w:style>
  <w:style w:type="character" w:styleId="Hipercze">
    <w:name w:val="Hyperlink"/>
    <w:rPr>
      <w:color w:val="0000FF"/>
      <w:u w:val="single"/>
    </w:rPr>
  </w:style>
  <w:style w:type="character" w:styleId="UyteHipercze">
    <w:name w:val="FollowedHyperlink"/>
    <w:rPr>
      <w:color w:val="800080"/>
      <w:u w:val="single"/>
    </w:rPr>
  </w:style>
  <w:style w:type="paragraph" w:styleId="Tekstpodstawowywcity">
    <w:name w:val="Body Text Indent"/>
    <w:basedOn w:val="Normalny"/>
    <w:pPr>
      <w:ind w:left="630" w:hanging="630"/>
    </w:pPr>
    <w:rPr>
      <w:szCs w:val="24"/>
    </w:rPr>
  </w:style>
  <w:style w:type="paragraph" w:styleId="Plandokumentu">
    <w:name w:val="Plan dokumentu"/>
    <w:basedOn w:val="Normalny"/>
    <w:semiHidden/>
    <w:rsid w:val="00DC5FC7"/>
    <w:pPr>
      <w:shd w:val="clear" w:color="auto" w:fill="000080"/>
    </w:pPr>
    <w:rPr>
      <w:rFonts w:ascii="Tahoma" w:hAnsi="Tahoma" w:cs="Tahoma"/>
    </w:rPr>
  </w:style>
  <w:style w:type="paragraph" w:customStyle="1" w:styleId="Pa0">
    <w:name w:val="Pa0"/>
    <w:basedOn w:val="Normalny"/>
    <w:next w:val="Norma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customStyle="1" w:styleId="equation0">
    <w:name w:val="equation"/>
    <w:basedOn w:val="Normalny"/>
    <w:next w:val="Normalny"/>
    <w:rsid w:val="004A2788"/>
    <w:pPr>
      <w:tabs>
        <w:tab w:val="center" w:pos="4536"/>
        <w:tab w:val="right" w:pos="9072"/>
      </w:tabs>
      <w:autoSpaceDE/>
      <w:autoSpaceDN/>
      <w:spacing w:line="360" w:lineRule="auto"/>
      <w:jc w:val="both"/>
    </w:pPr>
    <w:rPr>
      <w:rFonts w:ascii="Times New Roman" w:hAnsi="Times New Roman"/>
      <w:sz w:val="24"/>
      <w:lang w:val="ru-RU" w:eastAsia="pl-PL"/>
    </w:rPr>
  </w:style>
  <w:style w:type="paragraph" w:customStyle="1" w:styleId="header1">
    <w:name w:val="header  1"/>
    <w:basedOn w:val="Nagwek1"/>
    <w:rsid w:val="004A2788"/>
    <w:pPr>
      <w:numPr>
        <w:numId w:val="22"/>
      </w:numPr>
      <w:autoSpaceDE/>
      <w:autoSpaceDN/>
      <w:spacing w:after="60"/>
      <w:jc w:val="left"/>
    </w:pPr>
    <w:rPr>
      <w:rFonts w:ascii="Times New Roman" w:hAnsi="Times New Roman"/>
      <w:b/>
      <w:smallCaps w:val="0"/>
      <w:lang w:val="en-GB" w:eastAsia="pl-PL"/>
    </w:rPr>
  </w:style>
  <w:style w:type="paragraph" w:customStyle="1" w:styleId="header">
    <w:name w:val="header"/>
    <w:basedOn w:val="Normalny"/>
    <w:rsid w:val="004A2788"/>
    <w:pPr>
      <w:keepNext/>
      <w:autoSpaceDE/>
      <w:autoSpaceDN/>
      <w:spacing w:before="240" w:after="60"/>
    </w:pPr>
    <w:rPr>
      <w:rFonts w:ascii="Times New Roman" w:hAnsi="Times New Roman"/>
      <w:b/>
      <w:lang w:val="en-GB" w:eastAsia="pl-PL"/>
    </w:rPr>
  </w:style>
  <w:style w:type="paragraph" w:styleId="Wcicienormalne">
    <w:name w:val="Normal Indent"/>
    <w:basedOn w:val="Normalny"/>
    <w:rsid w:val="004A2788"/>
    <w:pPr>
      <w:autoSpaceDE/>
      <w:autoSpaceDN/>
      <w:ind w:firstLine="142"/>
      <w:jc w:val="both"/>
    </w:pPr>
    <w:rPr>
      <w:rFonts w:ascii="Times New Roman" w:hAnsi="Times New Roman"/>
      <w:lang w:val="en-GB" w:eastAsia="pl-PL"/>
    </w:rPr>
  </w:style>
  <w:style w:type="paragraph" w:customStyle="1" w:styleId="header2">
    <w:name w:val="header 2"/>
    <w:basedOn w:val="Nagwek2"/>
    <w:rsid w:val="004A2788"/>
    <w:pPr>
      <w:numPr>
        <w:numId w:val="22"/>
      </w:numPr>
      <w:autoSpaceDE/>
      <w:autoSpaceDN/>
      <w:spacing w:before="240"/>
      <w:ind w:left="0"/>
    </w:pPr>
    <w:rPr>
      <w:rFonts w:ascii="Times New Roman" w:hAnsi="Times New Roman"/>
      <w:b/>
      <w:i w:val="0"/>
      <w:iCs w:val="0"/>
      <w:lang w:val="en-GB" w:eastAsia="pl-PL"/>
    </w:rPr>
  </w:style>
  <w:style w:type="paragraph" w:customStyle="1" w:styleId="Table">
    <w:name w:val="Table"/>
    <w:basedOn w:val="Normalny"/>
    <w:rsid w:val="004A2788"/>
    <w:pPr>
      <w:keepNext/>
      <w:autoSpaceDE/>
      <w:autoSpaceDN/>
      <w:spacing w:before="60" w:after="60"/>
      <w:jc w:val="center"/>
    </w:pPr>
    <w:rPr>
      <w:rFonts w:ascii="Times New Roman" w:hAnsi="Times New Roman"/>
      <w:sz w:val="18"/>
      <w:lang w:eastAsia="pl-PL"/>
    </w:rPr>
  </w:style>
  <w:style w:type="paragraph" w:customStyle="1" w:styleId="Figure">
    <w:name w:val="Figure"/>
    <w:basedOn w:val="Normalny"/>
    <w:rsid w:val="004A2788"/>
    <w:pPr>
      <w:keepNext/>
      <w:autoSpaceDE/>
      <w:autoSpaceDN/>
      <w:spacing w:before="120"/>
      <w:jc w:val="center"/>
    </w:pPr>
    <w:rPr>
      <w:rFonts w:ascii="Times New Roman" w:hAnsi="Times New Roman"/>
      <w:lang w:val="en-GB" w:eastAsia="pl-PL"/>
    </w:rPr>
  </w:style>
  <w:style w:type="paragraph" w:customStyle="1" w:styleId="Figdescription">
    <w:name w:val="Fig. description"/>
    <w:basedOn w:val="Wcicienormalne"/>
    <w:rsid w:val="004A2788"/>
    <w:pPr>
      <w:spacing w:before="60" w:after="240"/>
      <w:jc w:val="center"/>
    </w:pPr>
    <w:rPr>
      <w:i/>
    </w:rPr>
  </w:style>
  <w:style w:type="paragraph" w:customStyle="1" w:styleId="Tekstpodstawowyba">
    <w:name w:val="Tekst podstawowy_b/a"/>
    <w:basedOn w:val="Tekstpodstawowy"/>
    <w:rsid w:val="00D07C87"/>
    <w:pPr>
      <w:autoSpaceDE/>
      <w:autoSpaceDN/>
      <w:spacing w:after="0" w:line="320" w:lineRule="exact"/>
      <w:jc w:val="both"/>
    </w:pPr>
    <w:rPr>
      <w:rFonts w:ascii="Times New Roman" w:hAnsi="Times New Roman"/>
      <w:spacing w:val="-4"/>
      <w:sz w:val="24"/>
      <w:szCs w:val="24"/>
      <w:lang w:val="pl-PL" w:eastAsia="pl-PL"/>
    </w:rPr>
  </w:style>
  <w:style w:type="paragraph" w:styleId="Tekstpodstawowy">
    <w:name w:val="Body Text"/>
    <w:basedOn w:val="Normalny"/>
    <w:rsid w:val="00D07C87"/>
    <w:pPr>
      <w:spacing w:after="120"/>
    </w:pPr>
  </w:style>
  <w:style w:type="paragraph" w:styleId="Tekstdymka">
    <w:name w:val="Balloon Text"/>
    <w:basedOn w:val="Normalny"/>
    <w:semiHidden/>
    <w:rsid w:val="0077676F"/>
    <w:rPr>
      <w:rFonts w:ascii="Tahoma" w:hAnsi="Tahoma" w:cs="Tahoma"/>
      <w:sz w:val="16"/>
      <w:szCs w:val="16"/>
    </w:rPr>
  </w:style>
  <w:style w:type="paragraph" w:customStyle="1" w:styleId="Wcicienormalne1">
    <w:name w:val="Wcięcie normalne1"/>
    <w:basedOn w:val="Normalny"/>
    <w:rsid w:val="00364DEB"/>
    <w:pPr>
      <w:suppressAutoHyphens/>
      <w:ind w:firstLine="142"/>
      <w:jc w:val="both"/>
      <w:textAlignment w:val="baseline"/>
    </w:pPr>
    <w:rPr>
      <w:rFonts w:ascii="Times New Roman" w:hAnsi="Times New Roman"/>
      <w:kern w:val="3"/>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1388</Words>
  <Characters>8333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vt:lpstr>
    </vt:vector>
  </TitlesOfParts>
  <Company>PSP</Company>
  <LinksUpToDate>false</LinksUpToDate>
  <CharactersWithSpaces>9702</CharactersWithSpaces>
  <SharedDoc>false</SharedDoc>
  <HLinks>
    <vt:vector size="6" baseType="variant">
      <vt:variant>
        <vt:i4>1245198</vt:i4>
      </vt:variant>
      <vt:variant>
        <vt:i4>3</vt:i4>
      </vt:variant>
      <vt:variant>
        <vt:i4>0</vt:i4>
      </vt:variant>
      <vt:variant>
        <vt:i4>5</vt:i4>
      </vt:variant>
      <vt:variant>
        <vt:lpwstr>http://www.opticsinfobase.org/oe/abstract.cfm?URI=oe-16-15-11618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Photonics Letters of Poland</dc:subject>
  <dc:creator>MAK</dc:creator>
  <cp:keywords/>
  <cp:lastModifiedBy>Chychłowski Miłosz</cp:lastModifiedBy>
  <cp:revision>3</cp:revision>
  <cp:lastPrinted>2008-12-01T15:14:00Z</cp:lastPrinted>
  <dcterms:created xsi:type="dcterms:W3CDTF">2020-12-08T11:30:00Z</dcterms:created>
  <dcterms:modified xsi:type="dcterms:W3CDTF">2020-12-08T11:40:00Z</dcterms:modified>
</cp:coreProperties>
</file>