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48" w:rsidRPr="003F39D3" w:rsidRDefault="00A51948" w:rsidP="003F39D3">
      <w:pPr>
        <w:jc w:val="both"/>
        <w:rPr>
          <w:color w:val="1F497D" w:themeColor="text2"/>
          <w:lang w:val="en-US"/>
        </w:rPr>
      </w:pPr>
      <w:r w:rsidRPr="003F39D3">
        <w:rPr>
          <w:color w:val="1F497D" w:themeColor="text2"/>
          <w:lang w:val="en-US"/>
        </w:rPr>
        <w:t>First of all, the authors w</w:t>
      </w:r>
      <w:r w:rsidR="002468FE" w:rsidRPr="003F39D3">
        <w:rPr>
          <w:color w:val="1F497D" w:themeColor="text2"/>
          <w:lang w:val="en-US"/>
        </w:rPr>
        <w:t>ould like to thank the reviewer for his</w:t>
      </w:r>
      <w:r w:rsidRPr="003F39D3">
        <w:rPr>
          <w:color w:val="1F497D" w:themeColor="text2"/>
          <w:lang w:val="en-US"/>
        </w:rPr>
        <w:t xml:space="preserve"> valuable comments. The authors have adapted the manuscript according to t</w:t>
      </w:r>
      <w:r w:rsidR="002468FE" w:rsidRPr="003F39D3">
        <w:rPr>
          <w:color w:val="1F497D" w:themeColor="text2"/>
          <w:lang w:val="en-US"/>
        </w:rPr>
        <w:t>he</w:t>
      </w:r>
      <w:r w:rsidRPr="003F39D3">
        <w:rPr>
          <w:color w:val="1F497D" w:themeColor="text2"/>
          <w:lang w:val="en-US"/>
        </w:rPr>
        <w:t xml:space="preserve"> suggestions. In what follows, extra clarification is given in response to the comments.</w:t>
      </w:r>
    </w:p>
    <w:p w:rsidR="00A51948" w:rsidRPr="00DD7CDA" w:rsidRDefault="002468FE" w:rsidP="003F39D3">
      <w:pPr>
        <w:jc w:val="both"/>
        <w:rPr>
          <w:b/>
          <w:u w:val="single"/>
          <w:lang w:val="en-US"/>
        </w:rPr>
      </w:pPr>
      <w:r>
        <w:rPr>
          <w:b/>
          <w:u w:val="single"/>
          <w:lang w:val="en-US"/>
        </w:rPr>
        <w:t>Reviewer B</w:t>
      </w:r>
    </w:p>
    <w:p w:rsidR="002468FE" w:rsidRPr="002468FE" w:rsidRDefault="002468FE" w:rsidP="003F39D3">
      <w:pPr>
        <w:spacing w:after="0" w:line="240" w:lineRule="auto"/>
        <w:jc w:val="both"/>
        <w:rPr>
          <w:i/>
          <w:lang w:val="en-US"/>
        </w:rPr>
      </w:pPr>
      <w:r w:rsidRPr="002468FE">
        <w:rPr>
          <w:i/>
          <w:lang w:val="en-US"/>
        </w:rPr>
        <w:t xml:space="preserve">The paper presents a light coupler for an application in </w:t>
      </w:r>
      <w:proofErr w:type="spellStart"/>
      <w:r w:rsidRPr="002468FE">
        <w:rPr>
          <w:i/>
          <w:lang w:val="en-US"/>
        </w:rPr>
        <w:t>microfluidics</w:t>
      </w:r>
      <w:proofErr w:type="spellEnd"/>
      <w:r w:rsidRPr="002468FE">
        <w:rPr>
          <w:i/>
          <w:lang w:val="en-US"/>
        </w:rPr>
        <w:t xml:space="preserve"> as a part of absorbance detection. In my opinion the paper cannot be published in the present form. The main drawbacks are as follows:</w:t>
      </w:r>
    </w:p>
    <w:p w:rsidR="009D0C0D" w:rsidRDefault="002468FE" w:rsidP="003F39D3">
      <w:pPr>
        <w:pStyle w:val="Lijstalinea"/>
        <w:numPr>
          <w:ilvl w:val="0"/>
          <w:numId w:val="4"/>
        </w:numPr>
        <w:spacing w:after="0" w:line="240" w:lineRule="auto"/>
        <w:ind w:left="0" w:firstLine="0"/>
        <w:jc w:val="both"/>
        <w:rPr>
          <w:i/>
          <w:lang w:val="en-US"/>
        </w:rPr>
      </w:pPr>
      <w:r w:rsidRPr="009D0C0D">
        <w:rPr>
          <w:i/>
          <w:lang w:val="en-US"/>
        </w:rPr>
        <w:t>The authors used solutions of a fluore</w:t>
      </w:r>
      <w:r w:rsidR="009D0C0D" w:rsidRPr="009D0C0D">
        <w:rPr>
          <w:i/>
          <w:lang w:val="en-US"/>
        </w:rPr>
        <w:t xml:space="preserve">scence compound for the tests of </w:t>
      </w:r>
      <w:r w:rsidRPr="009D0C0D">
        <w:rPr>
          <w:i/>
          <w:lang w:val="en-US"/>
        </w:rPr>
        <w:t>the system with absorbance detection. So as a matter of fact, they have measured two signals: one originated by absorbance and the second generated by fluorescence, although a special filter was used.</w:t>
      </w:r>
    </w:p>
    <w:p w:rsidR="009D0C0D" w:rsidRDefault="009D0C0D" w:rsidP="003F39D3">
      <w:pPr>
        <w:pStyle w:val="Lijstalinea"/>
        <w:spacing w:after="0" w:line="240" w:lineRule="auto"/>
        <w:ind w:left="0"/>
        <w:jc w:val="both"/>
        <w:rPr>
          <w:i/>
          <w:lang w:val="en-US"/>
        </w:rPr>
      </w:pPr>
    </w:p>
    <w:p w:rsidR="00D710E9" w:rsidRDefault="00D710E9" w:rsidP="003F39D3">
      <w:pPr>
        <w:pStyle w:val="Lijstalinea"/>
        <w:spacing w:after="0" w:line="240" w:lineRule="auto"/>
        <w:ind w:left="0"/>
        <w:jc w:val="both"/>
        <w:rPr>
          <w:color w:val="1F497D" w:themeColor="text2"/>
          <w:lang w:val="en-US"/>
        </w:rPr>
      </w:pPr>
      <w:r>
        <w:rPr>
          <w:color w:val="1F497D" w:themeColor="text2"/>
          <w:lang w:val="en-US"/>
        </w:rPr>
        <w:t xml:space="preserve">The final goal of the </w:t>
      </w:r>
      <w:r w:rsidR="00304482">
        <w:rPr>
          <w:color w:val="1F497D" w:themeColor="text2"/>
          <w:lang w:val="en-US"/>
        </w:rPr>
        <w:t xml:space="preserve">proposed </w:t>
      </w:r>
      <w:r>
        <w:rPr>
          <w:color w:val="1F497D" w:themeColor="text2"/>
          <w:lang w:val="en-US"/>
        </w:rPr>
        <w:t xml:space="preserve">system is to combine both absorbance and fluorescence on the same chip, however we decided to first demonstrate the proof-of-concept for absorbance detection and in </w:t>
      </w:r>
      <w:r w:rsidR="00304482">
        <w:rPr>
          <w:color w:val="1F497D" w:themeColor="text2"/>
          <w:lang w:val="en-US"/>
        </w:rPr>
        <w:t>a next step we will add the functionality for</w:t>
      </w:r>
      <w:r>
        <w:rPr>
          <w:color w:val="1F497D" w:themeColor="text2"/>
          <w:lang w:val="en-US"/>
        </w:rPr>
        <w:t xml:space="preserve"> fluorescence detection.</w:t>
      </w:r>
      <w:r w:rsidR="00304482">
        <w:rPr>
          <w:color w:val="1F497D" w:themeColor="text2"/>
          <w:lang w:val="en-US"/>
        </w:rPr>
        <w:t xml:space="preserve"> In both detection paths we make use of an appropriate filter to filter way the undesired light. The simultaneous measurement of absorbance and fluorescence in the same chip can be important for several applications like the degradation of lubricant oils</w:t>
      </w:r>
      <w:r w:rsidR="00ED4237">
        <w:rPr>
          <w:color w:val="1F497D" w:themeColor="text2"/>
          <w:lang w:val="en-US"/>
        </w:rPr>
        <w:t xml:space="preserve">. In </w:t>
      </w:r>
      <w:r w:rsidR="00304482">
        <w:rPr>
          <w:color w:val="1F497D" w:themeColor="text2"/>
          <w:lang w:val="en-US"/>
        </w:rPr>
        <w:t>[1]</w:t>
      </w:r>
      <w:r w:rsidR="00ED4237">
        <w:rPr>
          <w:color w:val="1F497D" w:themeColor="text2"/>
          <w:lang w:val="en-US"/>
        </w:rPr>
        <w:t xml:space="preserve"> we successfully demonstrated that fluorescent test samples can be used to measure both absorbance and flu</w:t>
      </w:r>
      <w:r w:rsidR="006420C0">
        <w:rPr>
          <w:color w:val="1F497D" w:themeColor="text2"/>
          <w:lang w:val="en-US"/>
        </w:rPr>
        <w:t>orescence when the correct band pass</w:t>
      </w:r>
      <w:r w:rsidR="00ED4237">
        <w:rPr>
          <w:color w:val="1F497D" w:themeColor="text2"/>
          <w:lang w:val="en-US"/>
        </w:rPr>
        <w:t xml:space="preserve"> filters are used</w:t>
      </w:r>
      <w:r w:rsidR="00304482">
        <w:rPr>
          <w:color w:val="1F497D" w:themeColor="text2"/>
          <w:lang w:val="en-US"/>
        </w:rPr>
        <w:t xml:space="preserve">. Therefore we decided to immediately use standard dyes which also could be used </w:t>
      </w:r>
      <w:r w:rsidR="00ED4237">
        <w:rPr>
          <w:color w:val="1F497D" w:themeColor="text2"/>
          <w:lang w:val="en-US"/>
        </w:rPr>
        <w:t xml:space="preserve">in the final system </w:t>
      </w:r>
      <w:r w:rsidR="00304482">
        <w:rPr>
          <w:color w:val="1F497D" w:themeColor="text2"/>
          <w:lang w:val="en-US"/>
        </w:rPr>
        <w:t>to determine the sensitivity of the system for both absorbance and fluorescence.</w:t>
      </w:r>
    </w:p>
    <w:p w:rsidR="00304482" w:rsidRDefault="00304482" w:rsidP="003F39D3">
      <w:pPr>
        <w:pStyle w:val="Lijstalinea"/>
        <w:spacing w:after="0" w:line="240" w:lineRule="auto"/>
        <w:ind w:left="0"/>
        <w:jc w:val="both"/>
        <w:rPr>
          <w:color w:val="1F497D" w:themeColor="text2"/>
          <w:lang w:val="en-US"/>
        </w:rPr>
      </w:pPr>
    </w:p>
    <w:p w:rsidR="00304482" w:rsidRDefault="00304482" w:rsidP="003F39D3">
      <w:pPr>
        <w:pStyle w:val="Lijstalinea"/>
        <w:spacing w:after="0" w:line="240" w:lineRule="auto"/>
        <w:ind w:left="0"/>
        <w:jc w:val="both"/>
        <w:rPr>
          <w:color w:val="1F497D" w:themeColor="text2"/>
          <w:lang w:val="en-US"/>
        </w:rPr>
      </w:pPr>
      <w:r>
        <w:rPr>
          <w:color w:val="1F497D" w:themeColor="text2"/>
          <w:lang w:val="en-US"/>
        </w:rPr>
        <w:t xml:space="preserve">[1] </w:t>
      </w:r>
      <w:r w:rsidRPr="00304482">
        <w:rPr>
          <w:color w:val="1F497D" w:themeColor="text2"/>
          <w:lang w:val="en-US"/>
        </w:rPr>
        <w:t xml:space="preserve">S. Van Overmeire, H. Ottevaere, A. G. Mignani, L. </w:t>
      </w:r>
      <w:proofErr w:type="spellStart"/>
      <w:r w:rsidRPr="00304482">
        <w:rPr>
          <w:color w:val="1F497D" w:themeColor="text2"/>
          <w:lang w:val="en-US"/>
        </w:rPr>
        <w:t>Ciaccheri</w:t>
      </w:r>
      <w:proofErr w:type="spellEnd"/>
      <w:r w:rsidRPr="00304482">
        <w:rPr>
          <w:color w:val="1F497D" w:themeColor="text2"/>
          <w:lang w:val="en-US"/>
        </w:rPr>
        <w:t xml:space="preserve">, G. Desmet, H. Thienpont, “Tolerance analysis of a micro-optical detection system for on-line monitoring of lubricant oils”, J. </w:t>
      </w:r>
      <w:proofErr w:type="spellStart"/>
      <w:r w:rsidRPr="00304482">
        <w:rPr>
          <w:color w:val="1F497D" w:themeColor="text2"/>
          <w:lang w:val="en-US"/>
        </w:rPr>
        <w:t>Micromech</w:t>
      </w:r>
      <w:proofErr w:type="spellEnd"/>
      <w:r w:rsidRPr="00304482">
        <w:rPr>
          <w:color w:val="1F497D" w:themeColor="text2"/>
          <w:lang w:val="en-US"/>
        </w:rPr>
        <w:t xml:space="preserve">., </w:t>
      </w:r>
      <w:proofErr w:type="spellStart"/>
      <w:r w:rsidRPr="00304482">
        <w:rPr>
          <w:color w:val="1F497D" w:themeColor="text2"/>
          <w:lang w:val="en-US"/>
        </w:rPr>
        <w:t>Microeng</w:t>
      </w:r>
      <w:proofErr w:type="spellEnd"/>
      <w:r w:rsidRPr="00304482">
        <w:rPr>
          <w:color w:val="1F497D" w:themeColor="text2"/>
          <w:lang w:val="en-US"/>
        </w:rPr>
        <w:t xml:space="preserve">., Vol. 20, No. 10, No. 105018, 2010 </w:t>
      </w:r>
    </w:p>
    <w:p w:rsidR="00304482" w:rsidRDefault="00304482" w:rsidP="003F39D3">
      <w:pPr>
        <w:pStyle w:val="Lijstalinea"/>
        <w:spacing w:after="0" w:line="240" w:lineRule="auto"/>
        <w:ind w:left="0"/>
        <w:jc w:val="both"/>
        <w:rPr>
          <w:color w:val="1F497D" w:themeColor="text2"/>
          <w:lang w:val="en-US"/>
        </w:rPr>
      </w:pPr>
    </w:p>
    <w:p w:rsidR="00304482" w:rsidRDefault="00304482" w:rsidP="003F39D3">
      <w:pPr>
        <w:pStyle w:val="Lijstalinea"/>
        <w:spacing w:after="0" w:line="240" w:lineRule="auto"/>
        <w:ind w:left="0"/>
        <w:jc w:val="both"/>
        <w:rPr>
          <w:color w:val="1F497D" w:themeColor="text2"/>
          <w:lang w:val="en-US"/>
        </w:rPr>
      </w:pPr>
      <w:r w:rsidRPr="00304482">
        <w:rPr>
          <w:color w:val="1F497D" w:themeColor="text2"/>
          <w:lang w:val="en-US"/>
        </w:rPr>
        <w:t>The following has been added to the revised manuscript</w:t>
      </w:r>
    </w:p>
    <w:p w:rsidR="00D710E9" w:rsidRPr="008C5459" w:rsidRDefault="00ED4237" w:rsidP="003F39D3">
      <w:pPr>
        <w:pStyle w:val="Lijstalinea"/>
        <w:spacing w:after="0" w:line="240" w:lineRule="auto"/>
        <w:ind w:left="0"/>
        <w:jc w:val="both"/>
        <w:rPr>
          <w:i/>
          <w:color w:val="1F497D" w:themeColor="text2"/>
          <w:lang w:val="en-US"/>
        </w:rPr>
      </w:pPr>
      <w:r w:rsidRPr="008C5459">
        <w:rPr>
          <w:i/>
          <w:color w:val="1F497D" w:themeColor="text2"/>
          <w:lang w:val="en-US"/>
        </w:rPr>
        <w:t xml:space="preserve">The system was also designed in such a way that fluorescence detection could be added as additional functionality to the </w:t>
      </w:r>
      <w:proofErr w:type="spellStart"/>
      <w:r w:rsidRPr="008C5459">
        <w:rPr>
          <w:i/>
          <w:color w:val="1F497D" w:themeColor="text2"/>
          <w:lang w:val="en-US"/>
        </w:rPr>
        <w:t>microfluidic</w:t>
      </w:r>
      <w:proofErr w:type="spellEnd"/>
      <w:r w:rsidRPr="008C5459">
        <w:rPr>
          <w:i/>
          <w:color w:val="1F497D" w:themeColor="text2"/>
          <w:lang w:val="en-US"/>
        </w:rPr>
        <w:t xml:space="preserve"> chip.</w:t>
      </w:r>
    </w:p>
    <w:p w:rsidR="00ED4237" w:rsidRPr="009D0C0D" w:rsidRDefault="00ED4237" w:rsidP="003F39D3">
      <w:pPr>
        <w:pStyle w:val="Lijstalinea"/>
        <w:spacing w:after="0" w:line="240" w:lineRule="auto"/>
        <w:ind w:left="0"/>
        <w:jc w:val="both"/>
        <w:rPr>
          <w:i/>
          <w:lang w:val="en-US"/>
        </w:rPr>
      </w:pPr>
    </w:p>
    <w:p w:rsidR="002468FE" w:rsidRPr="002468FE" w:rsidRDefault="002468FE" w:rsidP="003F39D3">
      <w:pPr>
        <w:spacing w:after="0" w:line="240" w:lineRule="auto"/>
        <w:jc w:val="both"/>
        <w:rPr>
          <w:i/>
          <w:lang w:val="en-US"/>
        </w:rPr>
      </w:pPr>
      <w:r w:rsidRPr="002468FE">
        <w:rPr>
          <w:i/>
          <w:lang w:val="en-US"/>
        </w:rPr>
        <w:t>2.</w:t>
      </w:r>
      <w:r w:rsidRPr="002468FE">
        <w:rPr>
          <w:i/>
          <w:lang w:val="en-US"/>
        </w:rPr>
        <w:tab/>
        <w:t xml:space="preserve">More details on technology </w:t>
      </w:r>
      <w:proofErr w:type="spellStart"/>
      <w:r w:rsidRPr="002468FE">
        <w:rPr>
          <w:i/>
          <w:lang w:val="en-US"/>
        </w:rPr>
        <w:t>utilised</w:t>
      </w:r>
      <w:proofErr w:type="spellEnd"/>
      <w:r w:rsidRPr="002468FE">
        <w:rPr>
          <w:i/>
          <w:lang w:val="en-US"/>
        </w:rPr>
        <w:t xml:space="preserve"> for the preparation of the chip are</w:t>
      </w:r>
      <w:r w:rsidR="009D0C0D">
        <w:rPr>
          <w:i/>
          <w:lang w:val="en-US"/>
        </w:rPr>
        <w:t xml:space="preserve"> </w:t>
      </w:r>
      <w:r w:rsidRPr="002468FE">
        <w:rPr>
          <w:i/>
          <w:lang w:val="en-US"/>
        </w:rPr>
        <w:t xml:space="preserve">needed: </w:t>
      </w:r>
    </w:p>
    <w:p w:rsidR="002468FE" w:rsidRPr="002468FE" w:rsidRDefault="002468FE" w:rsidP="003F39D3">
      <w:pPr>
        <w:spacing w:after="0" w:line="240" w:lineRule="auto"/>
        <w:jc w:val="both"/>
        <w:rPr>
          <w:i/>
          <w:lang w:val="en-US"/>
        </w:rPr>
      </w:pPr>
      <w:r w:rsidRPr="002468FE">
        <w:rPr>
          <w:i/>
          <w:lang w:val="en-US"/>
        </w:rPr>
        <w:t>a.</w:t>
      </w:r>
      <w:r w:rsidRPr="002468FE">
        <w:rPr>
          <w:i/>
          <w:lang w:val="en-US"/>
        </w:rPr>
        <w:tab/>
        <w:t xml:space="preserve">The authors stated that the chip was bonded and then the </w:t>
      </w:r>
      <w:proofErr w:type="spellStart"/>
      <w:r w:rsidRPr="002468FE">
        <w:rPr>
          <w:i/>
          <w:lang w:val="en-US"/>
        </w:rPr>
        <w:t>wholes</w:t>
      </w:r>
      <w:proofErr w:type="spellEnd"/>
      <w:r w:rsidRPr="002468FE">
        <w:rPr>
          <w:i/>
          <w:lang w:val="en-US"/>
        </w:rPr>
        <w:t xml:space="preserve"> were</w:t>
      </w:r>
    </w:p>
    <w:p w:rsidR="002468FE" w:rsidRDefault="002468FE" w:rsidP="003F39D3">
      <w:pPr>
        <w:spacing w:after="0" w:line="240" w:lineRule="auto"/>
        <w:jc w:val="both"/>
        <w:rPr>
          <w:i/>
          <w:lang w:val="en-US"/>
        </w:rPr>
      </w:pPr>
      <w:r w:rsidRPr="002468FE">
        <w:rPr>
          <w:i/>
          <w:lang w:val="en-US"/>
        </w:rPr>
        <w:t>drilled. After bonding? What about debris, which occurred during drilling?</w:t>
      </w:r>
    </w:p>
    <w:p w:rsidR="008C5459" w:rsidRDefault="008C5459" w:rsidP="003F39D3">
      <w:pPr>
        <w:spacing w:after="0" w:line="240" w:lineRule="auto"/>
        <w:jc w:val="both"/>
        <w:rPr>
          <w:i/>
          <w:lang w:val="en-US"/>
        </w:rPr>
      </w:pPr>
    </w:p>
    <w:p w:rsidR="009D0C0D" w:rsidRDefault="008C5459" w:rsidP="003F39D3">
      <w:pPr>
        <w:spacing w:after="0" w:line="240" w:lineRule="auto"/>
        <w:jc w:val="both"/>
        <w:rPr>
          <w:color w:val="1F497D" w:themeColor="text2"/>
          <w:lang w:val="en-US"/>
        </w:rPr>
      </w:pPr>
      <w:r>
        <w:rPr>
          <w:color w:val="1F497D" w:themeColor="text2"/>
          <w:lang w:val="en-US"/>
        </w:rPr>
        <w:t>The h</w:t>
      </w:r>
      <w:r w:rsidRPr="008C5459">
        <w:rPr>
          <w:color w:val="1F497D" w:themeColor="text2"/>
          <w:lang w:val="en-US"/>
        </w:rPr>
        <w:t xml:space="preserve">oles with a diameter of 500µm, drilled through the bottom of the silicon chip, </w:t>
      </w:r>
      <w:r>
        <w:rPr>
          <w:color w:val="1F497D" w:themeColor="text2"/>
          <w:lang w:val="en-US"/>
        </w:rPr>
        <w:t>were made in the silicon chip before anodic bonding of the glass plate to the silicon chip. A very accurate milling machine was used to drill the holes at a very low speed such that a minimum amount of debris was created. The latter were removed by a standard chemical cleaning process for silicon and did not create any problems for the in- and outlet of the fluid into the channel.</w:t>
      </w:r>
    </w:p>
    <w:p w:rsidR="008C5459" w:rsidRDefault="008C5459" w:rsidP="003F39D3">
      <w:pPr>
        <w:spacing w:after="0" w:line="240" w:lineRule="auto"/>
        <w:jc w:val="both"/>
        <w:rPr>
          <w:color w:val="1F497D" w:themeColor="text2"/>
          <w:lang w:val="en-US"/>
        </w:rPr>
      </w:pPr>
    </w:p>
    <w:p w:rsidR="008C5459" w:rsidRPr="003F39D3" w:rsidRDefault="008C5459" w:rsidP="003F39D3">
      <w:pPr>
        <w:spacing w:after="0" w:line="240" w:lineRule="auto"/>
        <w:jc w:val="both"/>
        <w:rPr>
          <w:i/>
          <w:color w:val="1F497D" w:themeColor="text2"/>
          <w:lang w:val="en-US"/>
        </w:rPr>
      </w:pPr>
      <w:r w:rsidRPr="003F39D3">
        <w:rPr>
          <w:i/>
          <w:color w:val="1F497D" w:themeColor="text2"/>
          <w:lang w:val="en-US"/>
        </w:rPr>
        <w:t>The text in the paper has been adapted accordingly.</w:t>
      </w:r>
    </w:p>
    <w:p w:rsidR="008C5459" w:rsidRPr="002468FE" w:rsidRDefault="008C5459" w:rsidP="003F39D3">
      <w:pPr>
        <w:spacing w:after="0" w:line="240" w:lineRule="auto"/>
        <w:jc w:val="both"/>
        <w:rPr>
          <w:i/>
          <w:lang w:val="en-US"/>
        </w:rPr>
      </w:pPr>
    </w:p>
    <w:p w:rsidR="002468FE" w:rsidRPr="002468FE" w:rsidRDefault="002468FE" w:rsidP="003F39D3">
      <w:pPr>
        <w:spacing w:after="0" w:line="240" w:lineRule="auto"/>
        <w:jc w:val="both"/>
        <w:rPr>
          <w:i/>
          <w:lang w:val="en-US"/>
        </w:rPr>
      </w:pPr>
      <w:r w:rsidRPr="002468FE">
        <w:rPr>
          <w:i/>
          <w:lang w:val="en-US"/>
        </w:rPr>
        <w:t>b.</w:t>
      </w:r>
      <w:r w:rsidRPr="002468FE">
        <w:rPr>
          <w:i/>
          <w:lang w:val="en-US"/>
        </w:rPr>
        <w:tab/>
        <w:t xml:space="preserve">A </w:t>
      </w:r>
      <w:proofErr w:type="spellStart"/>
      <w:r w:rsidRPr="002468FE">
        <w:rPr>
          <w:i/>
          <w:lang w:val="en-US"/>
        </w:rPr>
        <w:t>microfluidic</w:t>
      </w:r>
      <w:proofErr w:type="spellEnd"/>
      <w:r w:rsidRPr="002468FE">
        <w:rPr>
          <w:i/>
          <w:lang w:val="en-US"/>
        </w:rPr>
        <w:t xml:space="preserve"> channel has a width of 1.5 mm, a height of 50 um. There is</w:t>
      </w:r>
    </w:p>
    <w:p w:rsidR="002468FE" w:rsidRDefault="002468FE" w:rsidP="003F39D3">
      <w:pPr>
        <w:spacing w:after="0" w:line="240" w:lineRule="auto"/>
        <w:jc w:val="both"/>
        <w:rPr>
          <w:i/>
          <w:lang w:val="en-US"/>
        </w:rPr>
      </w:pPr>
      <w:r w:rsidRPr="002468FE">
        <w:rPr>
          <w:i/>
          <w:lang w:val="en-US"/>
        </w:rPr>
        <w:t>no data on a length. These dimensions are necessary to evaluate the total volume of the detector.</w:t>
      </w:r>
    </w:p>
    <w:p w:rsidR="009D0C0D" w:rsidRDefault="009D0C0D" w:rsidP="003F39D3">
      <w:pPr>
        <w:spacing w:after="0" w:line="240" w:lineRule="auto"/>
        <w:jc w:val="both"/>
        <w:rPr>
          <w:i/>
          <w:lang w:val="en-US"/>
        </w:rPr>
      </w:pPr>
    </w:p>
    <w:p w:rsidR="009D0C0D" w:rsidRDefault="009D0C0D" w:rsidP="003F39D3">
      <w:pPr>
        <w:spacing w:after="0" w:line="240" w:lineRule="auto"/>
        <w:jc w:val="both"/>
        <w:rPr>
          <w:color w:val="1F497D" w:themeColor="text2"/>
          <w:lang w:val="en-US"/>
        </w:rPr>
      </w:pPr>
      <w:r>
        <w:rPr>
          <w:color w:val="1F497D" w:themeColor="text2"/>
          <w:lang w:val="en-US"/>
        </w:rPr>
        <w:t xml:space="preserve">The </w:t>
      </w:r>
      <w:proofErr w:type="spellStart"/>
      <w:r>
        <w:rPr>
          <w:color w:val="1F497D" w:themeColor="text2"/>
          <w:lang w:val="en-US"/>
        </w:rPr>
        <w:t>microfluidic</w:t>
      </w:r>
      <w:proofErr w:type="spellEnd"/>
      <w:r w:rsidRPr="009D0C0D">
        <w:rPr>
          <w:color w:val="1F497D" w:themeColor="text2"/>
          <w:lang w:val="en-US"/>
        </w:rPr>
        <w:t xml:space="preserve"> channel </w:t>
      </w:r>
      <w:r w:rsidR="00936153">
        <w:rPr>
          <w:color w:val="1F497D" w:themeColor="text2"/>
          <w:lang w:val="en-US"/>
        </w:rPr>
        <w:t>has a channel length of 5</w:t>
      </w:r>
      <w:r>
        <w:rPr>
          <w:color w:val="1F497D" w:themeColor="text2"/>
          <w:lang w:val="en-US"/>
        </w:rPr>
        <w:t xml:space="preserve">0 mm, a width of 1.5mm and a </w:t>
      </w:r>
      <w:r w:rsidRPr="009D0C0D">
        <w:rPr>
          <w:color w:val="1F497D" w:themeColor="text2"/>
          <w:lang w:val="en-US"/>
        </w:rPr>
        <w:t xml:space="preserve">height </w:t>
      </w:r>
      <w:r>
        <w:rPr>
          <w:color w:val="1F497D" w:themeColor="text2"/>
          <w:lang w:val="en-US"/>
        </w:rPr>
        <w:t xml:space="preserve">of </w:t>
      </w:r>
      <w:r w:rsidRPr="009D0C0D">
        <w:rPr>
          <w:color w:val="1F497D" w:themeColor="text2"/>
          <w:lang w:val="en-US"/>
        </w:rPr>
        <w:t>only 50µm. Th</w:t>
      </w:r>
      <w:r>
        <w:rPr>
          <w:color w:val="1F497D" w:themeColor="text2"/>
          <w:lang w:val="en-US"/>
        </w:rPr>
        <w:t>ese cross-section dimensions were</w:t>
      </w:r>
      <w:r w:rsidRPr="009D0C0D">
        <w:rPr>
          <w:color w:val="1F497D" w:themeColor="text2"/>
          <w:lang w:val="en-US"/>
        </w:rPr>
        <w:t xml:space="preserve"> chosen arbitrarily to construct this first proof-of-concept prototype, but can be changed to suit other applications. Also more complex </w:t>
      </w:r>
      <w:proofErr w:type="spellStart"/>
      <w:r w:rsidRPr="009D0C0D">
        <w:rPr>
          <w:color w:val="1F497D" w:themeColor="text2"/>
          <w:lang w:val="en-US"/>
        </w:rPr>
        <w:t>microfluidic</w:t>
      </w:r>
      <w:proofErr w:type="spellEnd"/>
      <w:r w:rsidRPr="009D0C0D">
        <w:rPr>
          <w:color w:val="1F497D" w:themeColor="text2"/>
          <w:lang w:val="en-US"/>
        </w:rPr>
        <w:t xml:space="preserve"> circuits or z-cells with oblique sidewalls could be used.</w:t>
      </w:r>
      <w:r w:rsidR="00936153">
        <w:rPr>
          <w:color w:val="1F497D" w:themeColor="text2"/>
          <w:lang w:val="en-US"/>
        </w:rPr>
        <w:t xml:space="preserve"> However important to mention is that not the whole channel is illuminated at once</w:t>
      </w:r>
      <w:r w:rsidR="00D710E9">
        <w:rPr>
          <w:color w:val="1F497D" w:themeColor="text2"/>
          <w:lang w:val="en-US"/>
        </w:rPr>
        <w:t xml:space="preserve">, only in a small part of the channel interaction between light and test </w:t>
      </w:r>
      <w:r w:rsidR="00D710E9">
        <w:rPr>
          <w:color w:val="1F497D" w:themeColor="text2"/>
          <w:lang w:val="en-US"/>
        </w:rPr>
        <w:lastRenderedPageBreak/>
        <w:t>sample occurs</w:t>
      </w:r>
      <w:r w:rsidR="00936153">
        <w:rPr>
          <w:color w:val="1F497D" w:themeColor="text2"/>
          <w:lang w:val="en-US"/>
        </w:rPr>
        <w:t xml:space="preserve">. </w:t>
      </w:r>
      <w:r w:rsidR="00D710E9">
        <w:rPr>
          <w:color w:val="1F497D" w:themeColor="text2"/>
          <w:lang w:val="en-US"/>
        </w:rPr>
        <w:t>Indeed, t</w:t>
      </w:r>
      <w:r w:rsidR="00936153">
        <w:rPr>
          <w:color w:val="1F497D" w:themeColor="text2"/>
          <w:lang w:val="en-US"/>
        </w:rPr>
        <w:t>he light is confined in the channel over a width of 1.5 mm, a length of 200 µm and a height of 50 µm which opens up opportunities for parallel measurements.</w:t>
      </w:r>
    </w:p>
    <w:p w:rsidR="008C5459" w:rsidRDefault="008C5459" w:rsidP="003F39D3">
      <w:pPr>
        <w:spacing w:after="0" w:line="240" w:lineRule="auto"/>
        <w:jc w:val="both"/>
        <w:rPr>
          <w:color w:val="1F497D" w:themeColor="text2"/>
          <w:lang w:val="en-US"/>
        </w:rPr>
      </w:pPr>
    </w:p>
    <w:p w:rsidR="008C5459" w:rsidRPr="003F39D3" w:rsidRDefault="008C5459" w:rsidP="003F39D3">
      <w:pPr>
        <w:spacing w:after="0" w:line="240" w:lineRule="auto"/>
        <w:jc w:val="both"/>
        <w:rPr>
          <w:i/>
          <w:color w:val="1F497D" w:themeColor="text2"/>
          <w:lang w:val="en-US"/>
        </w:rPr>
      </w:pPr>
      <w:r w:rsidRPr="003F39D3">
        <w:rPr>
          <w:i/>
          <w:color w:val="1F497D" w:themeColor="text2"/>
          <w:lang w:val="en-US"/>
        </w:rPr>
        <w:t>The remark has been incorporated in the revised manuscript.</w:t>
      </w:r>
    </w:p>
    <w:p w:rsidR="00936153" w:rsidRDefault="00936153" w:rsidP="003F39D3">
      <w:pPr>
        <w:spacing w:after="0" w:line="240" w:lineRule="auto"/>
        <w:jc w:val="both"/>
        <w:rPr>
          <w:color w:val="1F497D" w:themeColor="text2"/>
          <w:lang w:val="en-US"/>
        </w:rPr>
      </w:pPr>
    </w:p>
    <w:p w:rsidR="002468FE" w:rsidRPr="002468FE" w:rsidRDefault="002468FE" w:rsidP="003F39D3">
      <w:pPr>
        <w:spacing w:after="0" w:line="240" w:lineRule="auto"/>
        <w:jc w:val="both"/>
        <w:rPr>
          <w:i/>
          <w:lang w:val="en-US"/>
        </w:rPr>
      </w:pPr>
      <w:r w:rsidRPr="002468FE">
        <w:rPr>
          <w:i/>
          <w:lang w:val="en-US"/>
        </w:rPr>
        <w:t>3.</w:t>
      </w:r>
      <w:r w:rsidRPr="002468FE">
        <w:rPr>
          <w:i/>
          <w:lang w:val="en-US"/>
        </w:rPr>
        <w:tab/>
        <w:t>It is not clear how the authors obtained the values in table 1. How the</w:t>
      </w:r>
    </w:p>
    <w:p w:rsidR="006420C0" w:rsidRDefault="002468FE" w:rsidP="003F39D3">
      <w:pPr>
        <w:spacing w:after="0" w:line="240" w:lineRule="auto"/>
        <w:jc w:val="both"/>
        <w:rPr>
          <w:i/>
          <w:lang w:val="en-US"/>
        </w:rPr>
      </w:pPr>
      <w:r w:rsidRPr="002468FE">
        <w:rPr>
          <w:i/>
          <w:lang w:val="en-US"/>
        </w:rPr>
        <w:t xml:space="preserve">peak area was calculated? </w:t>
      </w:r>
    </w:p>
    <w:p w:rsidR="004E274B" w:rsidRDefault="004E274B" w:rsidP="003F39D3">
      <w:pPr>
        <w:spacing w:after="0" w:line="240" w:lineRule="auto"/>
        <w:jc w:val="both"/>
        <w:rPr>
          <w:color w:val="1F497D" w:themeColor="text2"/>
          <w:lang w:val="en-US"/>
        </w:rPr>
      </w:pPr>
    </w:p>
    <w:p w:rsidR="0051020F" w:rsidRDefault="00E22742" w:rsidP="003F39D3">
      <w:pPr>
        <w:jc w:val="both"/>
        <w:rPr>
          <w:color w:val="1F497D" w:themeColor="text2"/>
          <w:lang w:val="en-US"/>
        </w:rPr>
      </w:pPr>
      <w:r w:rsidRPr="00E22742">
        <w:rPr>
          <w:color w:val="1F497D" w:themeColor="text2"/>
          <w:lang w:val="en-US"/>
        </w:rPr>
        <w:t xml:space="preserve">To verify the concentration measurement range and the detection limit experimentally, the response of the system on a set of five standard </w:t>
      </w:r>
      <w:proofErr w:type="spellStart"/>
      <w:r w:rsidRPr="00E22742">
        <w:rPr>
          <w:color w:val="1F497D" w:themeColor="text2"/>
          <w:lang w:val="en-US"/>
        </w:rPr>
        <w:t>coumarin</w:t>
      </w:r>
      <w:proofErr w:type="spellEnd"/>
      <w:r w:rsidRPr="00E22742">
        <w:rPr>
          <w:color w:val="1F497D" w:themeColor="text2"/>
          <w:lang w:val="en-US"/>
        </w:rPr>
        <w:t xml:space="preserve"> solutions with concentrations between 0.6 µM and 6mM are characterized. For every standard solution six consecutive injections are measured and the average peak area (in AU*s) is calculated for each concentration</w:t>
      </w:r>
      <w:r>
        <w:rPr>
          <w:color w:val="1F497D" w:themeColor="text2"/>
          <w:lang w:val="en-US"/>
        </w:rPr>
        <w:t>.</w:t>
      </w:r>
      <w:r w:rsidR="006420C0">
        <w:rPr>
          <w:color w:val="1F497D" w:themeColor="text2"/>
          <w:lang w:val="en-US"/>
        </w:rPr>
        <w:t xml:space="preserve"> Peak area</w:t>
      </w:r>
      <w:r w:rsidR="0051020F">
        <w:rPr>
          <w:color w:val="1F497D" w:themeColor="text2"/>
          <w:lang w:val="en-US"/>
        </w:rPr>
        <w:t xml:space="preserve"> </w:t>
      </w:r>
      <w:r w:rsidR="006420C0">
        <w:rPr>
          <w:color w:val="1F497D" w:themeColor="text2"/>
          <w:lang w:val="en-US"/>
        </w:rPr>
        <w:t xml:space="preserve">is a common term in </w:t>
      </w:r>
      <w:proofErr w:type="spellStart"/>
      <w:r w:rsidR="006420C0">
        <w:rPr>
          <w:color w:val="1F497D" w:themeColor="text2"/>
          <w:lang w:val="en-US"/>
        </w:rPr>
        <w:t>microfluidics</w:t>
      </w:r>
      <w:proofErr w:type="spellEnd"/>
      <w:r w:rsidR="006420C0">
        <w:rPr>
          <w:color w:val="1F497D" w:themeColor="text2"/>
          <w:lang w:val="en-US"/>
        </w:rPr>
        <w:t xml:space="preserve"> and </w:t>
      </w:r>
      <w:r w:rsidR="006420C0" w:rsidRPr="006420C0">
        <w:rPr>
          <w:color w:val="1F497D" w:themeColor="text2"/>
          <w:lang w:val="en-US"/>
        </w:rPr>
        <w:t>is</w:t>
      </w:r>
      <w:r w:rsidR="006420C0">
        <w:rPr>
          <w:color w:val="1F497D" w:themeColor="text2"/>
          <w:lang w:val="en-US"/>
        </w:rPr>
        <w:t xml:space="preserve"> related to the </w:t>
      </w:r>
      <w:r w:rsidR="00FF49E4">
        <w:rPr>
          <w:color w:val="1F497D" w:themeColor="text2"/>
          <w:lang w:val="en-US"/>
        </w:rPr>
        <w:t xml:space="preserve">concentration and the </w:t>
      </w:r>
      <w:r w:rsidR="006420C0">
        <w:rPr>
          <w:color w:val="1F497D" w:themeColor="text2"/>
          <w:lang w:val="en-US"/>
        </w:rPr>
        <w:t xml:space="preserve">quantity of the </w:t>
      </w:r>
      <w:r w:rsidR="006420C0" w:rsidRPr="006420C0">
        <w:rPr>
          <w:color w:val="1F497D" w:themeColor="text2"/>
          <w:lang w:val="en-US"/>
        </w:rPr>
        <w:t>material</w:t>
      </w:r>
      <w:r w:rsidR="006420C0">
        <w:rPr>
          <w:color w:val="1F497D" w:themeColor="text2"/>
          <w:lang w:val="en-US"/>
        </w:rPr>
        <w:t xml:space="preserve"> tested. </w:t>
      </w:r>
    </w:p>
    <w:p w:rsidR="00142805" w:rsidRDefault="0051020F" w:rsidP="003F39D3">
      <w:pPr>
        <w:jc w:val="both"/>
        <w:rPr>
          <w:color w:val="1F497D" w:themeColor="text2"/>
          <w:lang w:val="en-US"/>
        </w:rPr>
      </w:pPr>
      <w:r w:rsidRPr="0051020F">
        <w:rPr>
          <w:color w:val="1F497D" w:themeColor="text2"/>
          <w:lang w:val="en-US"/>
        </w:rPr>
        <w:t xml:space="preserve">For peak area measurements the area below the peak curve needs to be integrated. To determine the peak boundaries the first derivative of the signal, representing the slope or the tangent in each point of the signal, is calculated. When the slope exceeds a predefined slope threshold, a peak start is detected. Between the start and the top of the peak, the slope is positive, at the top it is zero and after the top until the peak end it is negative. The peak stop is detected where the slope becomes larger than a predefined negative slope threshold. In this work the peak area between the peak start and stop is calculated by trapezoidal numerical integration. Instead of using numerical integration to calculate the peak area, a frequently used approach in analytical chemistry is to apply a least squares fit on the data points. In particular for chromatographic and </w:t>
      </w:r>
      <w:proofErr w:type="spellStart"/>
      <w:r w:rsidRPr="0051020F">
        <w:rPr>
          <w:color w:val="1F497D" w:themeColor="text2"/>
          <w:lang w:val="en-US"/>
        </w:rPr>
        <w:t>electrophoretic</w:t>
      </w:r>
      <w:proofErr w:type="spellEnd"/>
      <w:r w:rsidRPr="0051020F">
        <w:rPr>
          <w:color w:val="1F497D" w:themeColor="text2"/>
          <w:lang w:val="en-US"/>
        </w:rPr>
        <w:t xml:space="preserve"> separations many models are described in the literature which can be used to fit data from samples emerging from the separation column. Several properties such as peak height, area and asymmetry can be derived from the mathematical representation of th</w:t>
      </w:r>
      <w:r>
        <w:rPr>
          <w:color w:val="1F497D" w:themeColor="text2"/>
          <w:lang w:val="en-US"/>
        </w:rPr>
        <w:t>e model applied to the data</w:t>
      </w:r>
      <w:r w:rsidRPr="0051020F">
        <w:rPr>
          <w:color w:val="1F497D" w:themeColor="text2"/>
          <w:lang w:val="en-US"/>
        </w:rPr>
        <w:t>.</w:t>
      </w:r>
    </w:p>
    <w:p w:rsidR="004E274B" w:rsidRPr="003F39D3" w:rsidRDefault="0051020F" w:rsidP="003F39D3">
      <w:pPr>
        <w:jc w:val="both"/>
        <w:rPr>
          <w:i/>
          <w:color w:val="1F497D" w:themeColor="text2"/>
          <w:lang w:val="en-US"/>
        </w:rPr>
      </w:pPr>
      <w:r>
        <w:rPr>
          <w:color w:val="1F497D" w:themeColor="text2"/>
          <w:lang w:val="en-US"/>
        </w:rPr>
        <w:t xml:space="preserve"> </w:t>
      </w:r>
      <w:r w:rsidRPr="003F39D3">
        <w:rPr>
          <w:i/>
          <w:color w:val="1F497D" w:themeColor="text2"/>
          <w:lang w:val="en-US"/>
        </w:rPr>
        <w:t>Due to the limitation on the number of pages a reference has been added</w:t>
      </w:r>
      <w:r w:rsidR="00B7472D" w:rsidRPr="003F39D3">
        <w:rPr>
          <w:i/>
          <w:color w:val="1F497D" w:themeColor="text2"/>
          <w:lang w:val="en-US"/>
        </w:rPr>
        <w:t xml:space="preserve"> in the revised manuscript</w:t>
      </w:r>
      <w:r w:rsidRPr="003F39D3">
        <w:rPr>
          <w:i/>
          <w:color w:val="1F497D" w:themeColor="text2"/>
          <w:lang w:val="en-US"/>
        </w:rPr>
        <w:t>.</w:t>
      </w:r>
    </w:p>
    <w:p w:rsidR="004E274B" w:rsidRDefault="004E274B" w:rsidP="003F39D3">
      <w:pPr>
        <w:spacing w:after="0" w:line="240" w:lineRule="auto"/>
        <w:jc w:val="both"/>
        <w:rPr>
          <w:i/>
          <w:lang w:val="en-US"/>
        </w:rPr>
      </w:pPr>
      <w:proofErr w:type="spellStart"/>
      <w:r w:rsidRPr="002468FE">
        <w:rPr>
          <w:i/>
          <w:lang w:val="en-US"/>
        </w:rPr>
        <w:t>Analysing</w:t>
      </w:r>
      <w:proofErr w:type="spellEnd"/>
      <w:r w:rsidRPr="002468FE">
        <w:rPr>
          <w:i/>
          <w:lang w:val="en-US"/>
        </w:rPr>
        <w:t xml:space="preserve"> figure 3 two facts are obvious: the base line is not stable and the recorded peaks have different heights. From metrological point of view, this is very serious drawback of the </w:t>
      </w:r>
      <w:proofErr w:type="spellStart"/>
      <w:r w:rsidRPr="002468FE">
        <w:rPr>
          <w:i/>
          <w:lang w:val="en-US"/>
        </w:rPr>
        <w:t>microsystem</w:t>
      </w:r>
      <w:proofErr w:type="spellEnd"/>
      <w:r w:rsidRPr="002468FE">
        <w:rPr>
          <w:i/>
          <w:lang w:val="en-US"/>
        </w:rPr>
        <w:t>.</w:t>
      </w:r>
    </w:p>
    <w:p w:rsidR="00142805" w:rsidRDefault="00142805" w:rsidP="003F39D3">
      <w:pPr>
        <w:jc w:val="both"/>
        <w:rPr>
          <w:color w:val="1F497D" w:themeColor="text2"/>
          <w:lang w:val="en-US"/>
        </w:rPr>
      </w:pPr>
    </w:p>
    <w:p w:rsidR="009D0C0D" w:rsidRPr="00E22742" w:rsidRDefault="003F39D3" w:rsidP="003F39D3">
      <w:pPr>
        <w:jc w:val="both"/>
        <w:rPr>
          <w:color w:val="1F497D" w:themeColor="text2"/>
          <w:lang w:val="en-US"/>
        </w:rPr>
      </w:pPr>
      <w:r>
        <w:rPr>
          <w:color w:val="1F497D" w:themeColor="text2"/>
          <w:lang w:val="en-US"/>
        </w:rPr>
        <w:t xml:space="preserve">The remarked drawbacks are reduced in a post-processing step. </w:t>
      </w:r>
      <w:r w:rsidR="004E274B" w:rsidRPr="004E274B">
        <w:rPr>
          <w:color w:val="1F497D" w:themeColor="text2"/>
          <w:lang w:val="en-US"/>
        </w:rPr>
        <w:t>After the time-domain filtering step</w:t>
      </w:r>
      <w:r w:rsidR="00142805">
        <w:rPr>
          <w:color w:val="1F497D" w:themeColor="text2"/>
          <w:lang w:val="en-US"/>
        </w:rPr>
        <w:t xml:space="preserve"> (moving average filter)</w:t>
      </w:r>
      <w:r w:rsidR="004E274B" w:rsidRPr="004E274B">
        <w:rPr>
          <w:color w:val="1F497D" w:themeColor="text2"/>
          <w:lang w:val="en-US"/>
        </w:rPr>
        <w:t>, the linear background drift caused by the source, detector and possible solvent variations is fitted with a 1st order curve and removed from the measured signal. This procedure is called trend-removal.</w:t>
      </w:r>
      <w:r w:rsidR="004E274B">
        <w:rPr>
          <w:color w:val="1F497D" w:themeColor="text2"/>
          <w:lang w:val="en-US"/>
        </w:rPr>
        <w:t xml:space="preserve"> </w:t>
      </w:r>
      <w:r w:rsidR="004E274B" w:rsidRPr="004E274B">
        <w:rPr>
          <w:color w:val="1F497D" w:themeColor="text2"/>
          <w:lang w:val="en-US"/>
        </w:rPr>
        <w:t>Finally the signal is differentiated for peak identification. At the peak locations the filtered non-differentiated detector signal is further processed to quantify the heights and the are</w:t>
      </w:r>
      <w:r w:rsidR="00142805">
        <w:rPr>
          <w:color w:val="1F497D" w:themeColor="text2"/>
          <w:lang w:val="en-US"/>
        </w:rPr>
        <w:t>as of the measured sample peaks resulting in small standard deviations as shown in Table 1.</w:t>
      </w:r>
    </w:p>
    <w:p w:rsidR="009D0C0D" w:rsidRDefault="009D0C0D" w:rsidP="003F39D3">
      <w:pPr>
        <w:jc w:val="both"/>
        <w:rPr>
          <w:i/>
          <w:lang w:val="en-US"/>
        </w:rPr>
      </w:pPr>
    </w:p>
    <w:p w:rsidR="009D0C0D" w:rsidRDefault="009D0C0D" w:rsidP="003F39D3">
      <w:pPr>
        <w:jc w:val="both"/>
        <w:rPr>
          <w:i/>
          <w:lang w:val="en-US"/>
        </w:rPr>
      </w:pPr>
    </w:p>
    <w:p w:rsidR="009D0C0D" w:rsidRDefault="009D0C0D" w:rsidP="003F39D3">
      <w:pPr>
        <w:jc w:val="both"/>
        <w:rPr>
          <w:i/>
          <w:lang w:val="en-US"/>
        </w:rPr>
      </w:pPr>
    </w:p>
    <w:p w:rsidR="009D0C0D" w:rsidRDefault="009D0C0D" w:rsidP="003F39D3">
      <w:pPr>
        <w:jc w:val="both"/>
        <w:rPr>
          <w:i/>
          <w:lang w:val="en-US"/>
        </w:rPr>
      </w:pPr>
    </w:p>
    <w:sectPr w:rsidR="009D0C0D" w:rsidSect="002046E2">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3F9" w:rsidRDefault="009763F9" w:rsidP="00A51948">
      <w:pPr>
        <w:spacing w:after="0" w:line="240" w:lineRule="auto"/>
      </w:pPr>
      <w:r>
        <w:separator/>
      </w:r>
    </w:p>
  </w:endnote>
  <w:endnote w:type="continuationSeparator" w:id="0">
    <w:p w:rsidR="009763F9" w:rsidRDefault="009763F9" w:rsidP="00A51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3F9" w:rsidRDefault="009763F9" w:rsidP="00A51948">
      <w:pPr>
        <w:spacing w:after="0" w:line="240" w:lineRule="auto"/>
      </w:pPr>
      <w:r>
        <w:separator/>
      </w:r>
    </w:p>
  </w:footnote>
  <w:footnote w:type="continuationSeparator" w:id="0">
    <w:p w:rsidR="009763F9" w:rsidRDefault="009763F9" w:rsidP="00A519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E47" w:rsidRPr="00365028" w:rsidRDefault="00432E47" w:rsidP="00A51948">
    <w:pPr>
      <w:rPr>
        <w:lang w:val="en-US"/>
      </w:rPr>
    </w:pPr>
    <w:r w:rsidRPr="00E603C9">
      <w:rPr>
        <w:lang w:val="en-US"/>
      </w:rPr>
      <w:t>Re</w:t>
    </w:r>
    <w:r>
      <w:rPr>
        <w:lang w:val="en-US"/>
      </w:rPr>
      <w:t>sp</w:t>
    </w:r>
    <w:r w:rsidRPr="00E603C9">
      <w:rPr>
        <w:lang w:val="en-US"/>
      </w:rPr>
      <w:t>onse to reviewer comments</w:t>
    </w:r>
    <w:r w:rsidR="002468FE">
      <w:rPr>
        <w:lang w:val="en-US"/>
      </w:rPr>
      <w:tab/>
    </w:r>
    <w:r w:rsidR="002468FE">
      <w:rPr>
        <w:lang w:val="en-US"/>
      </w:rPr>
      <w:tab/>
    </w:r>
    <w:r w:rsidR="002468FE">
      <w:rPr>
        <w:lang w:val="en-US"/>
      </w:rPr>
      <w:tab/>
    </w:r>
    <w:r w:rsidR="002468FE">
      <w:rPr>
        <w:lang w:val="en-US"/>
      </w:rPr>
      <w:tab/>
    </w:r>
    <w:r w:rsidR="002468FE">
      <w:rPr>
        <w:lang w:val="en-US"/>
      </w:rPr>
      <w:tab/>
    </w:r>
    <w:r w:rsidR="002468FE">
      <w:rPr>
        <w:lang w:val="en-US"/>
      </w:rPr>
      <w:tab/>
      <w:t>June 14</w:t>
    </w:r>
    <w:r>
      <w:rPr>
        <w:lang w:val="en-US"/>
      </w:rPr>
      <w:t>, 2012</w:t>
    </w:r>
  </w:p>
  <w:p w:rsidR="00432E47" w:rsidRPr="00A51948" w:rsidRDefault="00432E47">
    <w:pPr>
      <w:pStyle w:val="Kopteks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37209"/>
    <w:multiLevelType w:val="hybridMultilevel"/>
    <w:tmpl w:val="26EA5190"/>
    <w:lvl w:ilvl="0" w:tplc="4736719E">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407B7C5D"/>
    <w:multiLevelType w:val="hybridMultilevel"/>
    <w:tmpl w:val="3524FC56"/>
    <w:lvl w:ilvl="0" w:tplc="0B422622">
      <w:start w:val="17"/>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65A4093A"/>
    <w:multiLevelType w:val="hybridMultilevel"/>
    <w:tmpl w:val="6C706560"/>
    <w:lvl w:ilvl="0" w:tplc="8F2AB044">
      <w:start w:val="1"/>
      <w:numFmt w:val="decimal"/>
      <w:pStyle w:val="10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5320DB"/>
    <w:multiLevelType w:val="hybridMultilevel"/>
    <w:tmpl w:val="E8B2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E5572"/>
    <w:rsid w:val="000238CC"/>
    <w:rsid w:val="00041E0B"/>
    <w:rsid w:val="00060D11"/>
    <w:rsid w:val="00064C5E"/>
    <w:rsid w:val="0007471F"/>
    <w:rsid w:val="0008193B"/>
    <w:rsid w:val="00082D27"/>
    <w:rsid w:val="00083A68"/>
    <w:rsid w:val="00084E1B"/>
    <w:rsid w:val="00092F03"/>
    <w:rsid w:val="00096DD5"/>
    <w:rsid w:val="000979A2"/>
    <w:rsid w:val="00097BD1"/>
    <w:rsid w:val="000A5B5D"/>
    <w:rsid w:val="000A6409"/>
    <w:rsid w:val="000C4EB5"/>
    <w:rsid w:val="000D7AA0"/>
    <w:rsid w:val="000E552A"/>
    <w:rsid w:val="000F7C1A"/>
    <w:rsid w:val="0010165B"/>
    <w:rsid w:val="0010275B"/>
    <w:rsid w:val="00104D4E"/>
    <w:rsid w:val="00106423"/>
    <w:rsid w:val="0010706B"/>
    <w:rsid w:val="001128CF"/>
    <w:rsid w:val="00120CD4"/>
    <w:rsid w:val="00124388"/>
    <w:rsid w:val="00126382"/>
    <w:rsid w:val="001333C6"/>
    <w:rsid w:val="00134445"/>
    <w:rsid w:val="0014073F"/>
    <w:rsid w:val="00142805"/>
    <w:rsid w:val="0014751D"/>
    <w:rsid w:val="00147B5C"/>
    <w:rsid w:val="00153B4A"/>
    <w:rsid w:val="00166ECB"/>
    <w:rsid w:val="0017145F"/>
    <w:rsid w:val="00181F48"/>
    <w:rsid w:val="00185B14"/>
    <w:rsid w:val="00194428"/>
    <w:rsid w:val="001A1810"/>
    <w:rsid w:val="001A30B7"/>
    <w:rsid w:val="001B7274"/>
    <w:rsid w:val="001D4702"/>
    <w:rsid w:val="001E3772"/>
    <w:rsid w:val="001E446C"/>
    <w:rsid w:val="001F32AB"/>
    <w:rsid w:val="001F6A0C"/>
    <w:rsid w:val="00201FC8"/>
    <w:rsid w:val="00204040"/>
    <w:rsid w:val="002046E2"/>
    <w:rsid w:val="00206933"/>
    <w:rsid w:val="0022050D"/>
    <w:rsid w:val="00233162"/>
    <w:rsid w:val="002366C3"/>
    <w:rsid w:val="00244878"/>
    <w:rsid w:val="00245019"/>
    <w:rsid w:val="002468FE"/>
    <w:rsid w:val="0025180B"/>
    <w:rsid w:val="0025720A"/>
    <w:rsid w:val="00263F90"/>
    <w:rsid w:val="00271CA7"/>
    <w:rsid w:val="00272E9B"/>
    <w:rsid w:val="002743C1"/>
    <w:rsid w:val="002A3BA8"/>
    <w:rsid w:val="002A4C35"/>
    <w:rsid w:val="002B0818"/>
    <w:rsid w:val="002C24DC"/>
    <w:rsid w:val="002C7951"/>
    <w:rsid w:val="002D4669"/>
    <w:rsid w:val="002D5C2F"/>
    <w:rsid w:val="002E5572"/>
    <w:rsid w:val="002E6595"/>
    <w:rsid w:val="002E6962"/>
    <w:rsid w:val="002F41CE"/>
    <w:rsid w:val="002F56EF"/>
    <w:rsid w:val="003033A9"/>
    <w:rsid w:val="00304482"/>
    <w:rsid w:val="00305A53"/>
    <w:rsid w:val="003075FF"/>
    <w:rsid w:val="0031157C"/>
    <w:rsid w:val="003135F9"/>
    <w:rsid w:val="00315803"/>
    <w:rsid w:val="00321387"/>
    <w:rsid w:val="00321779"/>
    <w:rsid w:val="00334E59"/>
    <w:rsid w:val="00343B5E"/>
    <w:rsid w:val="00354DAD"/>
    <w:rsid w:val="00357E81"/>
    <w:rsid w:val="00362EA7"/>
    <w:rsid w:val="00387E40"/>
    <w:rsid w:val="003955F4"/>
    <w:rsid w:val="003A241B"/>
    <w:rsid w:val="003A6162"/>
    <w:rsid w:val="003A7A29"/>
    <w:rsid w:val="003B0759"/>
    <w:rsid w:val="003D3CEA"/>
    <w:rsid w:val="003D7030"/>
    <w:rsid w:val="003E106D"/>
    <w:rsid w:val="003E4888"/>
    <w:rsid w:val="003E4FBA"/>
    <w:rsid w:val="003F39D3"/>
    <w:rsid w:val="00406C83"/>
    <w:rsid w:val="0040709F"/>
    <w:rsid w:val="00421A56"/>
    <w:rsid w:val="00424C63"/>
    <w:rsid w:val="00425E44"/>
    <w:rsid w:val="00432E47"/>
    <w:rsid w:val="004344AF"/>
    <w:rsid w:val="004501AB"/>
    <w:rsid w:val="004602B9"/>
    <w:rsid w:val="00462A11"/>
    <w:rsid w:val="00480A4F"/>
    <w:rsid w:val="00483968"/>
    <w:rsid w:val="00484CDB"/>
    <w:rsid w:val="00487BF4"/>
    <w:rsid w:val="004919BE"/>
    <w:rsid w:val="004A446C"/>
    <w:rsid w:val="004B4C9B"/>
    <w:rsid w:val="004B6747"/>
    <w:rsid w:val="004B70D6"/>
    <w:rsid w:val="004C36A3"/>
    <w:rsid w:val="004C50B8"/>
    <w:rsid w:val="004E178B"/>
    <w:rsid w:val="004E274B"/>
    <w:rsid w:val="004E51A6"/>
    <w:rsid w:val="004E56E7"/>
    <w:rsid w:val="004E5D5B"/>
    <w:rsid w:val="004F5D25"/>
    <w:rsid w:val="00504BC7"/>
    <w:rsid w:val="0051020F"/>
    <w:rsid w:val="00517341"/>
    <w:rsid w:val="00524D38"/>
    <w:rsid w:val="00533DF1"/>
    <w:rsid w:val="005345D9"/>
    <w:rsid w:val="00535FF5"/>
    <w:rsid w:val="005550F3"/>
    <w:rsid w:val="00556CDF"/>
    <w:rsid w:val="00562C78"/>
    <w:rsid w:val="005702AD"/>
    <w:rsid w:val="0057218D"/>
    <w:rsid w:val="00572C77"/>
    <w:rsid w:val="00580083"/>
    <w:rsid w:val="00582BFD"/>
    <w:rsid w:val="00586DE3"/>
    <w:rsid w:val="00592954"/>
    <w:rsid w:val="005A0DC2"/>
    <w:rsid w:val="005A2420"/>
    <w:rsid w:val="005B2ED5"/>
    <w:rsid w:val="005B3B4D"/>
    <w:rsid w:val="005C2EE6"/>
    <w:rsid w:val="005E2E0F"/>
    <w:rsid w:val="005F4AB1"/>
    <w:rsid w:val="00603624"/>
    <w:rsid w:val="00605EC4"/>
    <w:rsid w:val="006143CA"/>
    <w:rsid w:val="006236B9"/>
    <w:rsid w:val="006238DD"/>
    <w:rsid w:val="00632416"/>
    <w:rsid w:val="0063646C"/>
    <w:rsid w:val="006417A4"/>
    <w:rsid w:val="006420C0"/>
    <w:rsid w:val="0064366E"/>
    <w:rsid w:val="0064451E"/>
    <w:rsid w:val="00645522"/>
    <w:rsid w:val="00651FEF"/>
    <w:rsid w:val="00654524"/>
    <w:rsid w:val="00657DDA"/>
    <w:rsid w:val="0067455C"/>
    <w:rsid w:val="006871A2"/>
    <w:rsid w:val="00693318"/>
    <w:rsid w:val="006A4422"/>
    <w:rsid w:val="006B17C2"/>
    <w:rsid w:val="006C2DB2"/>
    <w:rsid w:val="006D3058"/>
    <w:rsid w:val="006F2223"/>
    <w:rsid w:val="006F4DFD"/>
    <w:rsid w:val="006F679B"/>
    <w:rsid w:val="00703185"/>
    <w:rsid w:val="0070561B"/>
    <w:rsid w:val="007070B4"/>
    <w:rsid w:val="0071599D"/>
    <w:rsid w:val="007228A9"/>
    <w:rsid w:val="0072475A"/>
    <w:rsid w:val="007311E5"/>
    <w:rsid w:val="0073170A"/>
    <w:rsid w:val="00733E31"/>
    <w:rsid w:val="00734459"/>
    <w:rsid w:val="00734E68"/>
    <w:rsid w:val="0074566D"/>
    <w:rsid w:val="0075545B"/>
    <w:rsid w:val="00762057"/>
    <w:rsid w:val="00770914"/>
    <w:rsid w:val="007720B0"/>
    <w:rsid w:val="007809B9"/>
    <w:rsid w:val="00786039"/>
    <w:rsid w:val="00787CDB"/>
    <w:rsid w:val="007907ED"/>
    <w:rsid w:val="007A0303"/>
    <w:rsid w:val="007A26F4"/>
    <w:rsid w:val="007A2966"/>
    <w:rsid w:val="007B51FA"/>
    <w:rsid w:val="007C153B"/>
    <w:rsid w:val="007C3BC7"/>
    <w:rsid w:val="007C4EE6"/>
    <w:rsid w:val="007D6075"/>
    <w:rsid w:val="007D7044"/>
    <w:rsid w:val="007D71D1"/>
    <w:rsid w:val="007E620F"/>
    <w:rsid w:val="00822BCB"/>
    <w:rsid w:val="00832DE6"/>
    <w:rsid w:val="00834B76"/>
    <w:rsid w:val="00835BCA"/>
    <w:rsid w:val="00841A9F"/>
    <w:rsid w:val="0084502F"/>
    <w:rsid w:val="0084630E"/>
    <w:rsid w:val="00847C08"/>
    <w:rsid w:val="0085021B"/>
    <w:rsid w:val="00856671"/>
    <w:rsid w:val="00890F1B"/>
    <w:rsid w:val="008A692A"/>
    <w:rsid w:val="008B1058"/>
    <w:rsid w:val="008C0131"/>
    <w:rsid w:val="008C5459"/>
    <w:rsid w:val="008D0CEA"/>
    <w:rsid w:val="008D276D"/>
    <w:rsid w:val="008F61D5"/>
    <w:rsid w:val="00903237"/>
    <w:rsid w:val="00927B62"/>
    <w:rsid w:val="00935D2E"/>
    <w:rsid w:val="00936153"/>
    <w:rsid w:val="00951D09"/>
    <w:rsid w:val="00957648"/>
    <w:rsid w:val="009763F9"/>
    <w:rsid w:val="0099301B"/>
    <w:rsid w:val="009B3E76"/>
    <w:rsid w:val="009B746C"/>
    <w:rsid w:val="009B7DEB"/>
    <w:rsid w:val="009C1F19"/>
    <w:rsid w:val="009C46FC"/>
    <w:rsid w:val="009D0C0D"/>
    <w:rsid w:val="009D13D1"/>
    <w:rsid w:val="009D1853"/>
    <w:rsid w:val="009D308A"/>
    <w:rsid w:val="00A017EC"/>
    <w:rsid w:val="00A10B42"/>
    <w:rsid w:val="00A210FA"/>
    <w:rsid w:val="00A21282"/>
    <w:rsid w:val="00A315B6"/>
    <w:rsid w:val="00A35C0E"/>
    <w:rsid w:val="00A438EB"/>
    <w:rsid w:val="00A43CBC"/>
    <w:rsid w:val="00A51948"/>
    <w:rsid w:val="00A52CFB"/>
    <w:rsid w:val="00A56FFD"/>
    <w:rsid w:val="00A576E4"/>
    <w:rsid w:val="00A61C69"/>
    <w:rsid w:val="00A6713A"/>
    <w:rsid w:val="00A70659"/>
    <w:rsid w:val="00A74466"/>
    <w:rsid w:val="00A812A9"/>
    <w:rsid w:val="00A84071"/>
    <w:rsid w:val="00A87DF4"/>
    <w:rsid w:val="00A911A7"/>
    <w:rsid w:val="00A9310C"/>
    <w:rsid w:val="00A9638E"/>
    <w:rsid w:val="00AA03B5"/>
    <w:rsid w:val="00AA29C8"/>
    <w:rsid w:val="00AA4E1A"/>
    <w:rsid w:val="00AC5CDB"/>
    <w:rsid w:val="00AE0A24"/>
    <w:rsid w:val="00AE1987"/>
    <w:rsid w:val="00AE33D4"/>
    <w:rsid w:val="00AE3529"/>
    <w:rsid w:val="00AE7AD5"/>
    <w:rsid w:val="00AF2A49"/>
    <w:rsid w:val="00B03424"/>
    <w:rsid w:val="00B06E17"/>
    <w:rsid w:val="00B14E78"/>
    <w:rsid w:val="00B32D73"/>
    <w:rsid w:val="00B337F7"/>
    <w:rsid w:val="00B409A8"/>
    <w:rsid w:val="00B50BE1"/>
    <w:rsid w:val="00B51942"/>
    <w:rsid w:val="00B65611"/>
    <w:rsid w:val="00B7472D"/>
    <w:rsid w:val="00B819C3"/>
    <w:rsid w:val="00B8231E"/>
    <w:rsid w:val="00B82966"/>
    <w:rsid w:val="00B943DD"/>
    <w:rsid w:val="00BA0B62"/>
    <w:rsid w:val="00BB076B"/>
    <w:rsid w:val="00BB28C2"/>
    <w:rsid w:val="00BB324F"/>
    <w:rsid w:val="00BB4307"/>
    <w:rsid w:val="00BC318B"/>
    <w:rsid w:val="00BC4047"/>
    <w:rsid w:val="00BC43F2"/>
    <w:rsid w:val="00BC68E4"/>
    <w:rsid w:val="00BD1430"/>
    <w:rsid w:val="00BD406C"/>
    <w:rsid w:val="00BE3367"/>
    <w:rsid w:val="00BF1C38"/>
    <w:rsid w:val="00C115D4"/>
    <w:rsid w:val="00C12AF4"/>
    <w:rsid w:val="00C13D79"/>
    <w:rsid w:val="00C160F7"/>
    <w:rsid w:val="00C1710A"/>
    <w:rsid w:val="00C3465C"/>
    <w:rsid w:val="00C3668D"/>
    <w:rsid w:val="00C44F67"/>
    <w:rsid w:val="00C70217"/>
    <w:rsid w:val="00C72758"/>
    <w:rsid w:val="00C819AE"/>
    <w:rsid w:val="00C85E69"/>
    <w:rsid w:val="00CA248F"/>
    <w:rsid w:val="00CB111D"/>
    <w:rsid w:val="00CB67A4"/>
    <w:rsid w:val="00CC202D"/>
    <w:rsid w:val="00CC4B05"/>
    <w:rsid w:val="00CD05F5"/>
    <w:rsid w:val="00CD6BD2"/>
    <w:rsid w:val="00CE0F19"/>
    <w:rsid w:val="00CE6441"/>
    <w:rsid w:val="00CF3833"/>
    <w:rsid w:val="00D00DA6"/>
    <w:rsid w:val="00D119D8"/>
    <w:rsid w:val="00D16389"/>
    <w:rsid w:val="00D37729"/>
    <w:rsid w:val="00D426E6"/>
    <w:rsid w:val="00D6386F"/>
    <w:rsid w:val="00D70583"/>
    <w:rsid w:val="00D710E9"/>
    <w:rsid w:val="00D73037"/>
    <w:rsid w:val="00D7392D"/>
    <w:rsid w:val="00D75EDA"/>
    <w:rsid w:val="00D80CEB"/>
    <w:rsid w:val="00D821B2"/>
    <w:rsid w:val="00D82B2E"/>
    <w:rsid w:val="00D91636"/>
    <w:rsid w:val="00D91846"/>
    <w:rsid w:val="00D91FDD"/>
    <w:rsid w:val="00DB2415"/>
    <w:rsid w:val="00DB5EE1"/>
    <w:rsid w:val="00DC2938"/>
    <w:rsid w:val="00DC2EFA"/>
    <w:rsid w:val="00DC5561"/>
    <w:rsid w:val="00DD3968"/>
    <w:rsid w:val="00DD7CDA"/>
    <w:rsid w:val="00DE2D7B"/>
    <w:rsid w:val="00DF141F"/>
    <w:rsid w:val="00DF2171"/>
    <w:rsid w:val="00DF6514"/>
    <w:rsid w:val="00DF7821"/>
    <w:rsid w:val="00DF7ADB"/>
    <w:rsid w:val="00E21185"/>
    <w:rsid w:val="00E22742"/>
    <w:rsid w:val="00E32D5B"/>
    <w:rsid w:val="00E347F3"/>
    <w:rsid w:val="00E34BED"/>
    <w:rsid w:val="00E50AF8"/>
    <w:rsid w:val="00E55586"/>
    <w:rsid w:val="00E56935"/>
    <w:rsid w:val="00E62E5F"/>
    <w:rsid w:val="00E730B4"/>
    <w:rsid w:val="00E76A9E"/>
    <w:rsid w:val="00E832FA"/>
    <w:rsid w:val="00E928C2"/>
    <w:rsid w:val="00EA16E6"/>
    <w:rsid w:val="00EA2880"/>
    <w:rsid w:val="00EA3E18"/>
    <w:rsid w:val="00EC34EB"/>
    <w:rsid w:val="00EC3FA4"/>
    <w:rsid w:val="00ED108C"/>
    <w:rsid w:val="00ED4237"/>
    <w:rsid w:val="00ED67F6"/>
    <w:rsid w:val="00EE367C"/>
    <w:rsid w:val="00EF4477"/>
    <w:rsid w:val="00F01E27"/>
    <w:rsid w:val="00F10ACF"/>
    <w:rsid w:val="00F22246"/>
    <w:rsid w:val="00F27F98"/>
    <w:rsid w:val="00F43CF0"/>
    <w:rsid w:val="00F563C4"/>
    <w:rsid w:val="00F73931"/>
    <w:rsid w:val="00F817AA"/>
    <w:rsid w:val="00F81E6B"/>
    <w:rsid w:val="00F9780B"/>
    <w:rsid w:val="00FB1443"/>
    <w:rsid w:val="00FB4A46"/>
    <w:rsid w:val="00FC007D"/>
    <w:rsid w:val="00FC0E2D"/>
    <w:rsid w:val="00FC16A0"/>
    <w:rsid w:val="00FC2266"/>
    <w:rsid w:val="00FC3235"/>
    <w:rsid w:val="00FC7C2D"/>
    <w:rsid w:val="00FD0811"/>
    <w:rsid w:val="00FD6584"/>
    <w:rsid w:val="00FD769A"/>
    <w:rsid w:val="00FF42FD"/>
    <w:rsid w:val="00FF46CD"/>
    <w:rsid w:val="00FF49E4"/>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1948"/>
    <w:pPr>
      <w:spacing w:line="276" w:lineRule="auto"/>
      <w:ind w:firstLine="0"/>
      <w:jc w:val="left"/>
    </w:p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A51948"/>
    <w:pPr>
      <w:tabs>
        <w:tab w:val="center" w:pos="4536"/>
        <w:tab w:val="right" w:pos="9072"/>
      </w:tabs>
      <w:spacing w:after="0" w:line="240" w:lineRule="auto"/>
      <w:ind w:firstLine="357"/>
      <w:jc w:val="both"/>
    </w:pPr>
  </w:style>
  <w:style w:type="character" w:customStyle="1" w:styleId="KoptekstChar">
    <w:name w:val="Koptekst Char"/>
    <w:basedOn w:val="Standaardalinea-lettertype"/>
    <w:link w:val="Koptekst"/>
    <w:uiPriority w:val="99"/>
    <w:semiHidden/>
    <w:rsid w:val="00A51948"/>
  </w:style>
  <w:style w:type="paragraph" w:styleId="Voettekst">
    <w:name w:val="footer"/>
    <w:basedOn w:val="Standaard"/>
    <w:link w:val="VoettekstChar"/>
    <w:uiPriority w:val="99"/>
    <w:semiHidden/>
    <w:unhideWhenUsed/>
    <w:rsid w:val="00A51948"/>
    <w:pPr>
      <w:tabs>
        <w:tab w:val="center" w:pos="4536"/>
        <w:tab w:val="right" w:pos="9072"/>
      </w:tabs>
      <w:spacing w:after="0" w:line="240" w:lineRule="auto"/>
      <w:ind w:firstLine="357"/>
      <w:jc w:val="both"/>
    </w:pPr>
  </w:style>
  <w:style w:type="character" w:customStyle="1" w:styleId="VoettekstChar">
    <w:name w:val="Voettekst Char"/>
    <w:basedOn w:val="Standaardalinea-lettertype"/>
    <w:link w:val="Voettekst"/>
    <w:uiPriority w:val="99"/>
    <w:semiHidden/>
    <w:rsid w:val="00A51948"/>
  </w:style>
  <w:style w:type="paragraph" w:styleId="Ballontekst">
    <w:name w:val="Balloon Text"/>
    <w:basedOn w:val="Standaard"/>
    <w:link w:val="BallontekstChar"/>
    <w:uiPriority w:val="99"/>
    <w:semiHidden/>
    <w:unhideWhenUsed/>
    <w:rsid w:val="00A51948"/>
    <w:pPr>
      <w:spacing w:after="0" w:line="240" w:lineRule="auto"/>
      <w:ind w:firstLine="357"/>
      <w:jc w:val="both"/>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1948"/>
    <w:rPr>
      <w:rFonts w:ascii="Tahoma" w:hAnsi="Tahoma" w:cs="Tahoma"/>
      <w:sz w:val="16"/>
      <w:szCs w:val="16"/>
    </w:rPr>
  </w:style>
  <w:style w:type="paragraph" w:customStyle="1" w:styleId="10references">
    <w:name w:val="10.references"/>
    <w:basedOn w:val="Standaard"/>
    <w:rsid w:val="00C12AF4"/>
    <w:pPr>
      <w:numPr>
        <w:numId w:val="1"/>
      </w:numPr>
      <w:spacing w:after="0" w:line="480" w:lineRule="auto"/>
    </w:pPr>
    <w:rPr>
      <w:rFonts w:ascii="Times New Roman" w:eastAsia="Times New Roman" w:hAnsi="Times New Roman" w:cs="Times New Roman"/>
      <w:sz w:val="24"/>
      <w:szCs w:val="24"/>
      <w:lang w:val="en-US" w:eastAsia="nl-BE"/>
    </w:rPr>
  </w:style>
  <w:style w:type="paragraph" w:styleId="Lijstalinea">
    <w:name w:val="List Paragraph"/>
    <w:basedOn w:val="Standaard"/>
    <w:uiPriority w:val="34"/>
    <w:qFormat/>
    <w:rsid w:val="00F10ACF"/>
    <w:pPr>
      <w:ind w:left="720"/>
      <w:contextualSpacing/>
    </w:pPr>
    <w:rPr>
      <w:rFonts w:eastAsiaTheme="minorEastAsia"/>
      <w:lang w:eastAsia="nl-BE"/>
    </w:rPr>
  </w:style>
  <w:style w:type="paragraph" w:customStyle="1" w:styleId="NormalArial">
    <w:name w:val="Normal + Arial"/>
    <w:basedOn w:val="Standaard"/>
    <w:rsid w:val="00856671"/>
    <w:pPr>
      <w:spacing w:after="0" w:line="240" w:lineRule="auto"/>
    </w:pPr>
    <w:rPr>
      <w:rFonts w:ascii="Arial" w:eastAsia="Times New Roman" w:hAnsi="Arial" w:cs="Arial"/>
      <w:sz w:val="20"/>
      <w:szCs w:val="24"/>
      <w:lang w:val="en-US" w:eastAsia="nl-BE"/>
    </w:rPr>
  </w:style>
  <w:style w:type="character" w:styleId="Hyperlink">
    <w:name w:val="Hyperlink"/>
    <w:basedOn w:val="Standaardalinea-lettertype"/>
    <w:uiPriority w:val="99"/>
    <w:unhideWhenUsed/>
    <w:rsid w:val="00D426E6"/>
    <w:rPr>
      <w:color w:val="0000FF" w:themeColor="hyperlink"/>
      <w:u w:val="single"/>
    </w:rPr>
  </w:style>
  <w:style w:type="character" w:styleId="Verwijzingopmerking">
    <w:name w:val="annotation reference"/>
    <w:basedOn w:val="Standaardalinea-lettertype"/>
    <w:uiPriority w:val="99"/>
    <w:semiHidden/>
    <w:unhideWhenUsed/>
    <w:rsid w:val="00CD6BD2"/>
    <w:rPr>
      <w:sz w:val="16"/>
      <w:szCs w:val="16"/>
    </w:rPr>
  </w:style>
  <w:style w:type="paragraph" w:styleId="Tekstopmerking">
    <w:name w:val="annotation text"/>
    <w:basedOn w:val="Standaard"/>
    <w:link w:val="TekstopmerkingChar"/>
    <w:uiPriority w:val="99"/>
    <w:semiHidden/>
    <w:unhideWhenUsed/>
    <w:rsid w:val="00CD6BD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6BD2"/>
    <w:rPr>
      <w:sz w:val="20"/>
      <w:szCs w:val="20"/>
    </w:rPr>
  </w:style>
  <w:style w:type="paragraph" w:styleId="Onderwerpvanopmerking">
    <w:name w:val="annotation subject"/>
    <w:basedOn w:val="Tekstopmerking"/>
    <w:next w:val="Tekstopmerking"/>
    <w:link w:val="OnderwerpvanopmerkingChar"/>
    <w:uiPriority w:val="99"/>
    <w:semiHidden/>
    <w:unhideWhenUsed/>
    <w:rsid w:val="00CD6BD2"/>
    <w:rPr>
      <w:b/>
      <w:bCs/>
    </w:rPr>
  </w:style>
  <w:style w:type="character" w:customStyle="1" w:styleId="OnderwerpvanopmerkingChar">
    <w:name w:val="Onderwerp van opmerking Char"/>
    <w:basedOn w:val="TekstopmerkingChar"/>
    <w:link w:val="Onderwerpvanopmerking"/>
    <w:uiPriority w:val="99"/>
    <w:semiHidden/>
    <w:rsid w:val="00CD6B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48"/>
    <w:pPr>
      <w:spacing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1948"/>
    <w:pPr>
      <w:tabs>
        <w:tab w:val="center" w:pos="4536"/>
        <w:tab w:val="right" w:pos="9072"/>
      </w:tabs>
      <w:spacing w:after="0" w:line="240" w:lineRule="auto"/>
      <w:ind w:firstLine="357"/>
      <w:jc w:val="both"/>
    </w:pPr>
  </w:style>
  <w:style w:type="character" w:customStyle="1" w:styleId="HeaderChar">
    <w:name w:val="Header Char"/>
    <w:basedOn w:val="DefaultParagraphFont"/>
    <w:link w:val="Header"/>
    <w:uiPriority w:val="99"/>
    <w:semiHidden/>
    <w:rsid w:val="00A51948"/>
  </w:style>
  <w:style w:type="paragraph" w:styleId="Footer">
    <w:name w:val="footer"/>
    <w:basedOn w:val="Normal"/>
    <w:link w:val="FooterChar"/>
    <w:uiPriority w:val="99"/>
    <w:semiHidden/>
    <w:unhideWhenUsed/>
    <w:rsid w:val="00A51948"/>
    <w:pPr>
      <w:tabs>
        <w:tab w:val="center" w:pos="4536"/>
        <w:tab w:val="right" w:pos="9072"/>
      </w:tabs>
      <w:spacing w:after="0" w:line="240" w:lineRule="auto"/>
      <w:ind w:firstLine="357"/>
      <w:jc w:val="both"/>
    </w:pPr>
  </w:style>
  <w:style w:type="character" w:customStyle="1" w:styleId="FooterChar">
    <w:name w:val="Footer Char"/>
    <w:basedOn w:val="DefaultParagraphFont"/>
    <w:link w:val="Footer"/>
    <w:uiPriority w:val="99"/>
    <w:semiHidden/>
    <w:rsid w:val="00A51948"/>
  </w:style>
  <w:style w:type="paragraph" w:styleId="BalloonText">
    <w:name w:val="Balloon Text"/>
    <w:basedOn w:val="Normal"/>
    <w:link w:val="BalloonTextChar"/>
    <w:uiPriority w:val="99"/>
    <w:semiHidden/>
    <w:unhideWhenUsed/>
    <w:rsid w:val="00A51948"/>
    <w:pPr>
      <w:spacing w:after="0" w:line="240" w:lineRule="auto"/>
      <w:ind w:firstLine="357"/>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948"/>
    <w:rPr>
      <w:rFonts w:ascii="Tahoma" w:hAnsi="Tahoma" w:cs="Tahoma"/>
      <w:sz w:val="16"/>
      <w:szCs w:val="16"/>
    </w:rPr>
  </w:style>
  <w:style w:type="paragraph" w:customStyle="1" w:styleId="10references">
    <w:name w:val="10.references"/>
    <w:basedOn w:val="Normal"/>
    <w:rsid w:val="00C12AF4"/>
    <w:pPr>
      <w:numPr>
        <w:numId w:val="1"/>
      </w:numPr>
      <w:spacing w:after="0" w:line="480" w:lineRule="auto"/>
    </w:pPr>
    <w:rPr>
      <w:rFonts w:ascii="Times New Roman" w:eastAsia="Times New Roman" w:hAnsi="Times New Roman" w:cs="Times New Roman"/>
      <w:sz w:val="24"/>
      <w:szCs w:val="24"/>
      <w:lang w:val="en-US" w:eastAsia="nl-BE"/>
    </w:rPr>
  </w:style>
  <w:style w:type="paragraph" w:styleId="ListParagraph">
    <w:name w:val="List Paragraph"/>
    <w:basedOn w:val="Normal"/>
    <w:uiPriority w:val="34"/>
    <w:qFormat/>
    <w:rsid w:val="00F10ACF"/>
    <w:pPr>
      <w:ind w:left="720"/>
      <w:contextualSpacing/>
    </w:pPr>
    <w:rPr>
      <w:rFonts w:eastAsiaTheme="minorEastAsia"/>
      <w:lang w:eastAsia="nl-BE"/>
    </w:rPr>
  </w:style>
  <w:style w:type="paragraph" w:customStyle="1" w:styleId="NormalArial">
    <w:name w:val="Normal + Arial"/>
    <w:basedOn w:val="Normal"/>
    <w:rsid w:val="00856671"/>
    <w:pPr>
      <w:spacing w:after="0" w:line="240" w:lineRule="auto"/>
    </w:pPr>
    <w:rPr>
      <w:rFonts w:ascii="Arial" w:eastAsia="Times New Roman" w:hAnsi="Arial" w:cs="Arial"/>
      <w:sz w:val="20"/>
      <w:szCs w:val="24"/>
      <w:lang w:val="en-US" w:eastAsia="nl-BE"/>
    </w:rPr>
  </w:style>
  <w:style w:type="character" w:styleId="Hyperlink">
    <w:name w:val="Hyperlink"/>
    <w:basedOn w:val="DefaultParagraphFont"/>
    <w:uiPriority w:val="99"/>
    <w:unhideWhenUsed/>
    <w:rsid w:val="00D426E6"/>
    <w:rPr>
      <w:color w:val="0000FF" w:themeColor="hyperlink"/>
      <w:u w:val="single"/>
    </w:rPr>
  </w:style>
  <w:style w:type="character" w:styleId="CommentReference">
    <w:name w:val="annotation reference"/>
    <w:basedOn w:val="DefaultParagraphFont"/>
    <w:uiPriority w:val="99"/>
    <w:semiHidden/>
    <w:unhideWhenUsed/>
    <w:rsid w:val="00CD6BD2"/>
    <w:rPr>
      <w:sz w:val="16"/>
      <w:szCs w:val="16"/>
    </w:rPr>
  </w:style>
  <w:style w:type="paragraph" w:styleId="CommentText">
    <w:name w:val="annotation text"/>
    <w:basedOn w:val="Normal"/>
    <w:link w:val="CommentTextChar"/>
    <w:uiPriority w:val="99"/>
    <w:semiHidden/>
    <w:unhideWhenUsed/>
    <w:rsid w:val="00CD6BD2"/>
    <w:pPr>
      <w:spacing w:line="240" w:lineRule="auto"/>
    </w:pPr>
    <w:rPr>
      <w:sz w:val="20"/>
      <w:szCs w:val="20"/>
    </w:rPr>
  </w:style>
  <w:style w:type="character" w:customStyle="1" w:styleId="CommentTextChar">
    <w:name w:val="Comment Text Char"/>
    <w:basedOn w:val="DefaultParagraphFont"/>
    <w:link w:val="CommentText"/>
    <w:uiPriority w:val="99"/>
    <w:semiHidden/>
    <w:rsid w:val="00CD6BD2"/>
    <w:rPr>
      <w:sz w:val="20"/>
      <w:szCs w:val="20"/>
    </w:rPr>
  </w:style>
  <w:style w:type="paragraph" w:styleId="CommentSubject">
    <w:name w:val="annotation subject"/>
    <w:basedOn w:val="CommentText"/>
    <w:next w:val="CommentText"/>
    <w:link w:val="CommentSubjectChar"/>
    <w:uiPriority w:val="99"/>
    <w:semiHidden/>
    <w:unhideWhenUsed/>
    <w:rsid w:val="00CD6BD2"/>
    <w:rPr>
      <w:b/>
      <w:bCs/>
    </w:rPr>
  </w:style>
  <w:style w:type="character" w:customStyle="1" w:styleId="CommentSubjectChar">
    <w:name w:val="Comment Subject Char"/>
    <w:basedOn w:val="CommentTextChar"/>
    <w:link w:val="CommentSubject"/>
    <w:uiPriority w:val="99"/>
    <w:semiHidden/>
    <w:rsid w:val="00CD6BD2"/>
    <w:rPr>
      <w:b/>
      <w:bCs/>
      <w:sz w:val="20"/>
      <w:szCs w:val="20"/>
    </w:rPr>
  </w:style>
</w:styles>
</file>

<file path=word/webSettings.xml><?xml version="1.0" encoding="utf-8"?>
<w:webSettings xmlns:r="http://schemas.openxmlformats.org/officeDocument/2006/relationships" xmlns:w="http://schemas.openxmlformats.org/wordprocessingml/2006/main">
  <w:divs>
    <w:div w:id="1994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E36D7-D5C4-48D9-9A5C-9EE6967B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980</Words>
  <Characters>5394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gizengaw</dc:creator>
  <cp:lastModifiedBy>hottevae</cp:lastModifiedBy>
  <cp:revision>13</cp:revision>
  <cp:lastPrinted>2012-04-05T13:18:00Z</cp:lastPrinted>
  <dcterms:created xsi:type="dcterms:W3CDTF">2012-06-14T19:12:00Z</dcterms:created>
  <dcterms:modified xsi:type="dcterms:W3CDTF">2012-06-14T21:19:00Z</dcterms:modified>
</cp:coreProperties>
</file>