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4DF" w:rsidRPr="00FA28D5" w:rsidRDefault="00FA28D5" w:rsidP="00244D94">
      <w:pPr>
        <w:pStyle w:val="Authors"/>
        <w:framePr w:w="9361" w:hSpace="0" w:vSpace="425" w:wrap="notBeside"/>
        <w:spacing w:before="160"/>
        <w:rPr>
          <w:rFonts w:ascii="Times New Roman" w:hAnsi="Times New Roman"/>
          <w:b/>
          <w:sz w:val="32"/>
          <w:szCs w:val="32"/>
        </w:rPr>
      </w:pPr>
      <w:r w:rsidRPr="00FA28D5">
        <w:rPr>
          <w:rFonts w:ascii="Times New Roman" w:hAnsi="Times New Roman"/>
          <w:b/>
          <w:sz w:val="32"/>
          <w:szCs w:val="32"/>
        </w:rPr>
        <w:t xml:space="preserve">Impact on optical image quality from </w:t>
      </w:r>
      <w:proofErr w:type="spellStart"/>
      <w:r w:rsidRPr="00FA28D5">
        <w:rPr>
          <w:rFonts w:ascii="Times New Roman" w:hAnsi="Times New Roman"/>
          <w:b/>
          <w:sz w:val="32"/>
          <w:szCs w:val="32"/>
        </w:rPr>
        <w:t>glistenings</w:t>
      </w:r>
      <w:proofErr w:type="spellEnd"/>
      <w:r w:rsidRPr="00FA28D5">
        <w:rPr>
          <w:rFonts w:ascii="Times New Roman" w:hAnsi="Times New Roman"/>
          <w:b/>
          <w:sz w:val="32"/>
          <w:szCs w:val="32"/>
        </w:rPr>
        <w:t xml:space="preserve"> in intraocular lenses – preliminary study</w:t>
      </w:r>
    </w:p>
    <w:p w:rsidR="00AA64DF" w:rsidRPr="008A325C" w:rsidRDefault="008A325C" w:rsidP="008E37A0">
      <w:pPr>
        <w:pStyle w:val="Authors"/>
        <w:framePr w:w="9361" w:hSpace="0" w:vSpace="425" w:wrap="notBeside"/>
        <w:spacing w:after="120"/>
        <w:rPr>
          <w:rFonts w:ascii="Times New Roman" w:hAnsi="Times New Roman"/>
          <w:sz w:val="20"/>
          <w:szCs w:val="20"/>
          <w:vertAlign w:val="superscript"/>
          <w:lang w:val="pl-PL"/>
        </w:rPr>
      </w:pPr>
      <w:r w:rsidRPr="008A325C">
        <w:rPr>
          <w:rFonts w:ascii="Times New Roman" w:hAnsi="Times New Roman"/>
          <w:sz w:val="20"/>
          <w:szCs w:val="20"/>
          <w:lang w:val="pl-PL"/>
        </w:rPr>
        <w:t>M. Geniusz</w:t>
      </w:r>
      <w:r w:rsidR="00AA64DF" w:rsidRPr="008A325C">
        <w:rPr>
          <w:rFonts w:ascii="Times New Roman" w:hAnsi="Times New Roman"/>
          <w:sz w:val="20"/>
          <w:szCs w:val="20"/>
          <w:lang w:val="pl-PL"/>
        </w:rPr>
        <w:t>,</w:t>
      </w:r>
      <w:r w:rsidR="00330CF3">
        <w:rPr>
          <w:rStyle w:val="Odwoanieprzypisudolnego"/>
          <w:sz w:val="20"/>
          <w:szCs w:val="20"/>
        </w:rPr>
        <w:footnoteReference w:id="1"/>
      </w:r>
      <w:r w:rsidR="00AA64DF" w:rsidRPr="008A325C">
        <w:rPr>
          <w:sz w:val="20"/>
          <w:szCs w:val="20"/>
          <w:vertAlign w:val="superscript"/>
          <w:lang w:val="pl-PL"/>
        </w:rPr>
        <w:t>1</w:t>
      </w:r>
      <w:r w:rsidR="00AA64DF" w:rsidRPr="008A325C">
        <w:rPr>
          <w:rFonts w:ascii="Times New Roman" w:hAnsi="Times New Roman"/>
          <w:sz w:val="20"/>
          <w:szCs w:val="20"/>
          <w:lang w:val="pl-PL"/>
        </w:rPr>
        <w:t xml:space="preserve"> </w:t>
      </w:r>
      <w:r w:rsidRPr="008A325C">
        <w:rPr>
          <w:rFonts w:ascii="Times New Roman" w:hAnsi="Times New Roman"/>
          <w:sz w:val="20"/>
          <w:szCs w:val="20"/>
          <w:lang w:val="pl-PL"/>
        </w:rPr>
        <w:t>M. Kazimierska</w:t>
      </w:r>
      <w:r w:rsidR="00AA64DF" w:rsidRPr="008A325C">
        <w:rPr>
          <w:rFonts w:ascii="Times New Roman" w:hAnsi="Times New Roman"/>
          <w:sz w:val="20"/>
          <w:szCs w:val="20"/>
          <w:lang w:val="pl-PL"/>
        </w:rPr>
        <w:t>,</w:t>
      </w:r>
      <w:r w:rsidR="007F5B8C">
        <w:rPr>
          <w:rFonts w:ascii="Times New Roman" w:hAnsi="Times New Roman"/>
          <w:sz w:val="20"/>
          <w:szCs w:val="20"/>
          <w:vertAlign w:val="superscript"/>
          <w:lang w:val="pl-PL"/>
        </w:rPr>
        <w:t>1</w:t>
      </w:r>
      <w:r w:rsidR="00AA64DF" w:rsidRPr="008A325C">
        <w:rPr>
          <w:rFonts w:ascii="Times New Roman" w:hAnsi="Times New Roman"/>
          <w:sz w:val="20"/>
          <w:szCs w:val="20"/>
          <w:lang w:val="pl-PL"/>
        </w:rPr>
        <w:t xml:space="preserve"> and </w:t>
      </w:r>
      <w:r w:rsidRPr="008A325C">
        <w:rPr>
          <w:rFonts w:ascii="Times New Roman" w:hAnsi="Times New Roman"/>
          <w:sz w:val="20"/>
          <w:szCs w:val="20"/>
          <w:lang w:val="pl-PL"/>
        </w:rPr>
        <w:t xml:space="preserve">M. </w:t>
      </w:r>
      <w:r>
        <w:rPr>
          <w:rFonts w:ascii="Times New Roman" w:hAnsi="Times New Roman"/>
          <w:sz w:val="20"/>
          <w:szCs w:val="20"/>
          <w:lang w:val="pl-PL"/>
        </w:rPr>
        <w:t>Zając</w:t>
      </w:r>
      <w:r w:rsidR="007F5B8C">
        <w:rPr>
          <w:rFonts w:ascii="Times New Roman" w:hAnsi="Times New Roman"/>
          <w:sz w:val="20"/>
          <w:szCs w:val="20"/>
          <w:vertAlign w:val="superscript"/>
          <w:lang w:val="pl-PL"/>
        </w:rPr>
        <w:t>1</w:t>
      </w:r>
    </w:p>
    <w:p w:rsidR="005854E7" w:rsidRPr="009D26E6" w:rsidRDefault="00AA64DF" w:rsidP="008E37A0">
      <w:pPr>
        <w:pStyle w:val="Authors"/>
        <w:framePr w:w="9361" w:hSpace="0" w:vSpace="425" w:wrap="notBeside"/>
        <w:spacing w:after="240"/>
        <w:rPr>
          <w:i/>
          <w:sz w:val="20"/>
          <w:szCs w:val="20"/>
        </w:rPr>
      </w:pPr>
      <w:r w:rsidRPr="009D26E6">
        <w:rPr>
          <w:i/>
          <w:sz w:val="20"/>
          <w:szCs w:val="20"/>
          <w:vertAlign w:val="superscript"/>
        </w:rPr>
        <w:t>1</w:t>
      </w:r>
      <w:r w:rsidRPr="009D26E6">
        <w:rPr>
          <w:i/>
          <w:sz w:val="20"/>
          <w:szCs w:val="20"/>
        </w:rPr>
        <w:t xml:space="preserve">Faculty of </w:t>
      </w:r>
      <w:r w:rsidR="009D26E6" w:rsidRPr="009D26E6">
        <w:rPr>
          <w:i/>
          <w:sz w:val="20"/>
          <w:szCs w:val="20"/>
        </w:rPr>
        <w:t>Fundamental Problems of Technology, Wroclaw</w:t>
      </w:r>
      <w:r w:rsidRPr="009D26E6">
        <w:rPr>
          <w:i/>
          <w:sz w:val="20"/>
          <w:szCs w:val="20"/>
        </w:rPr>
        <w:t xml:space="preserve"> Uni</w:t>
      </w:r>
      <w:r w:rsidR="009D26E6" w:rsidRPr="009D26E6">
        <w:rPr>
          <w:i/>
          <w:sz w:val="20"/>
          <w:szCs w:val="20"/>
        </w:rPr>
        <w:t xml:space="preserve">versity of Technology, </w:t>
      </w:r>
      <w:r w:rsidR="009D26E6" w:rsidRPr="009D26E6">
        <w:rPr>
          <w:i/>
          <w:sz w:val="20"/>
          <w:szCs w:val="20"/>
        </w:rPr>
        <w:br/>
      </w:r>
      <w:proofErr w:type="spellStart"/>
      <w:r w:rsidR="009D26E6" w:rsidRPr="009D26E6">
        <w:rPr>
          <w:i/>
          <w:sz w:val="20"/>
          <w:szCs w:val="20"/>
        </w:rPr>
        <w:t>Wybrzeze</w:t>
      </w:r>
      <w:proofErr w:type="spellEnd"/>
      <w:r w:rsidR="009D26E6" w:rsidRPr="009D26E6">
        <w:rPr>
          <w:i/>
          <w:sz w:val="20"/>
          <w:szCs w:val="20"/>
        </w:rPr>
        <w:t xml:space="preserve">  </w:t>
      </w:r>
      <w:proofErr w:type="spellStart"/>
      <w:r w:rsidR="009D26E6" w:rsidRPr="009D26E6">
        <w:rPr>
          <w:i/>
          <w:sz w:val="20"/>
          <w:szCs w:val="20"/>
        </w:rPr>
        <w:t>Wyspianskiego</w:t>
      </w:r>
      <w:proofErr w:type="spellEnd"/>
      <w:r w:rsidR="009D26E6" w:rsidRPr="009D26E6">
        <w:rPr>
          <w:i/>
          <w:sz w:val="20"/>
          <w:szCs w:val="20"/>
        </w:rPr>
        <w:t xml:space="preserve"> 27, 50-370 </w:t>
      </w:r>
      <w:proofErr w:type="spellStart"/>
      <w:r w:rsidR="009D26E6" w:rsidRPr="009D26E6">
        <w:rPr>
          <w:i/>
          <w:sz w:val="20"/>
          <w:szCs w:val="20"/>
        </w:rPr>
        <w:t>Wrocław</w:t>
      </w:r>
      <w:proofErr w:type="spellEnd"/>
      <w:r w:rsidR="00DA7392" w:rsidRPr="009D26E6">
        <w:rPr>
          <w:i/>
          <w:sz w:val="20"/>
          <w:szCs w:val="20"/>
        </w:rPr>
        <w:br/>
      </w:r>
    </w:p>
    <w:p w:rsidR="00E97402" w:rsidRPr="003F4F74" w:rsidRDefault="005854E7" w:rsidP="008E37A0">
      <w:pPr>
        <w:pStyle w:val="Authors"/>
        <w:framePr w:w="9361" w:hSpace="0" w:vSpace="425" w:wrap="notBeside"/>
        <w:spacing w:after="0"/>
        <w:rPr>
          <w:color w:val="FF0000"/>
          <w:sz w:val="16"/>
          <w:szCs w:val="16"/>
        </w:rPr>
      </w:pPr>
      <w:r w:rsidRPr="003F4F74">
        <w:rPr>
          <w:color w:val="FF0000"/>
          <w:sz w:val="16"/>
          <w:szCs w:val="16"/>
        </w:rPr>
        <w:t>Received</w:t>
      </w:r>
      <w:r w:rsidR="00263600" w:rsidRPr="003F4F74">
        <w:rPr>
          <w:color w:val="FF0000"/>
          <w:sz w:val="16"/>
          <w:szCs w:val="16"/>
        </w:rPr>
        <w:t xml:space="preserve"> </w:t>
      </w:r>
      <w:r w:rsidRPr="003F4F74">
        <w:rPr>
          <w:color w:val="FF0000"/>
          <w:sz w:val="16"/>
          <w:szCs w:val="16"/>
        </w:rPr>
        <w:t>November</w:t>
      </w:r>
      <w:r w:rsidR="00263600" w:rsidRPr="003F4F74">
        <w:rPr>
          <w:color w:val="FF0000"/>
          <w:sz w:val="16"/>
          <w:szCs w:val="16"/>
        </w:rPr>
        <w:t xml:space="preserve"> </w:t>
      </w:r>
      <w:r w:rsidRPr="003F4F74">
        <w:rPr>
          <w:color w:val="FF0000"/>
          <w:sz w:val="16"/>
          <w:szCs w:val="16"/>
        </w:rPr>
        <w:t>28, 2008; revised December 2, 2008; accepted December 4, 2008</w:t>
      </w:r>
      <w:r w:rsidR="00263600" w:rsidRPr="003F4F74">
        <w:rPr>
          <w:color w:val="FF0000"/>
          <w:sz w:val="16"/>
          <w:szCs w:val="16"/>
        </w:rPr>
        <w:t>; published December 5, 2008</w:t>
      </w:r>
    </w:p>
    <w:p w:rsidR="00132B9F" w:rsidRPr="00DE2876" w:rsidRDefault="00E97402" w:rsidP="008E37A0">
      <w:pPr>
        <w:jc w:val="both"/>
        <w:rPr>
          <w:rFonts w:ascii="Times New Roman" w:hAnsi="Times New Roman"/>
          <w:sz w:val="16"/>
          <w:szCs w:val="16"/>
        </w:rPr>
      </w:pPr>
      <w:r w:rsidRPr="007B0DED">
        <w:rPr>
          <w:rFonts w:ascii="Times New Roman" w:hAnsi="Times New Roman"/>
          <w:b/>
          <w:iCs/>
        </w:rPr>
        <w:t>Abstract</w:t>
      </w:r>
      <w:r w:rsidR="00132B9F" w:rsidRPr="007B0DED">
        <w:rPr>
          <w:rFonts w:ascii="Times New Roman" w:hAnsi="Times New Roman"/>
          <w:b/>
          <w:iCs/>
        </w:rPr>
        <w:t xml:space="preserve"> </w:t>
      </w:r>
      <w:r w:rsidRPr="007B0DED">
        <w:rPr>
          <w:rFonts w:ascii="Times New Roman" w:hAnsi="Times New Roman"/>
          <w:sz w:val="16"/>
          <w:szCs w:val="16"/>
        </w:rPr>
        <w:t>—</w:t>
      </w:r>
      <w:r w:rsidR="00DE2876" w:rsidRPr="00DE2876">
        <w:rPr>
          <w:rFonts w:ascii="Times New Roman" w:hAnsi="Times New Roman"/>
          <w:sz w:val="16"/>
          <w:szCs w:val="16"/>
        </w:rPr>
        <w:t xml:space="preserve">The aim of the study was to determine how </w:t>
      </w:r>
      <w:proofErr w:type="spellStart"/>
      <w:r w:rsidR="00DE2876" w:rsidRPr="00DE2876">
        <w:rPr>
          <w:rFonts w:ascii="Times New Roman" w:hAnsi="Times New Roman"/>
          <w:sz w:val="16"/>
          <w:szCs w:val="16"/>
        </w:rPr>
        <w:t>glistennigs</w:t>
      </w:r>
      <w:proofErr w:type="spellEnd"/>
      <w:r w:rsidR="00DE2876" w:rsidRPr="00DE2876">
        <w:rPr>
          <w:rFonts w:ascii="Times New Roman" w:hAnsi="Times New Roman"/>
          <w:sz w:val="16"/>
          <w:szCs w:val="16"/>
        </w:rPr>
        <w:t xml:space="preserve"> phenomenon affects the quality of the retinal image. The phenomenon </w:t>
      </w:r>
      <w:proofErr w:type="spellStart"/>
      <w:r w:rsidR="00DE2876" w:rsidRPr="00DE2876">
        <w:rPr>
          <w:rFonts w:ascii="Times New Roman" w:hAnsi="Times New Roman"/>
          <w:sz w:val="16"/>
          <w:szCs w:val="16"/>
        </w:rPr>
        <w:t>gistenigns</w:t>
      </w:r>
      <w:proofErr w:type="spellEnd"/>
      <w:r w:rsidR="00DE2876" w:rsidRPr="00DE2876">
        <w:rPr>
          <w:rFonts w:ascii="Times New Roman" w:hAnsi="Times New Roman"/>
          <w:sz w:val="16"/>
          <w:szCs w:val="16"/>
        </w:rPr>
        <w:t xml:space="preserve"> a defect appearing in artificial intraocular lenses after a residence time of the lenses in the aqueous humor inside the eye. This defect occurs in all types of IOLs and is a phenomenon quite common. The study modeled three intraocular lenses, two made of acrylic and one made of PMMA. The lenses were located in the eye model prepared based on the work </w:t>
      </w:r>
      <w:proofErr w:type="spellStart"/>
      <w:r w:rsidR="00DE2876" w:rsidRPr="00DE2876">
        <w:rPr>
          <w:rFonts w:ascii="Times New Roman" w:hAnsi="Times New Roman"/>
          <w:sz w:val="16"/>
          <w:szCs w:val="16"/>
        </w:rPr>
        <w:t>Atchinsona</w:t>
      </w:r>
      <w:proofErr w:type="spellEnd"/>
      <w:r w:rsidR="00DE2876" w:rsidRPr="00DE2876">
        <w:rPr>
          <w:rFonts w:ascii="Times New Roman" w:hAnsi="Times New Roman"/>
          <w:sz w:val="16"/>
          <w:szCs w:val="16"/>
        </w:rPr>
        <w:t xml:space="preserve"> [</w:t>
      </w:r>
      <w:r w:rsidR="007B0DED">
        <w:rPr>
          <w:rFonts w:ascii="Times New Roman" w:hAnsi="Times New Roman"/>
          <w:sz w:val="16"/>
          <w:szCs w:val="16"/>
        </w:rPr>
        <w:t>1</w:t>
      </w:r>
      <w:r w:rsidR="00DE2876" w:rsidRPr="00DE2876">
        <w:rPr>
          <w:rFonts w:ascii="Times New Roman" w:hAnsi="Times New Roman"/>
          <w:sz w:val="16"/>
          <w:szCs w:val="16"/>
        </w:rPr>
        <w:t xml:space="preserve">]. </w:t>
      </w:r>
      <w:r w:rsidR="00DE2876" w:rsidRPr="004468E1">
        <w:rPr>
          <w:rFonts w:ascii="Times New Roman" w:hAnsi="Times New Roman"/>
          <w:sz w:val="16"/>
          <w:szCs w:val="16"/>
        </w:rPr>
        <w:t xml:space="preserve">The study determined how strongly reduced </w:t>
      </w:r>
      <w:r w:rsidR="004468E1" w:rsidRPr="004468E1">
        <w:rPr>
          <w:rFonts w:ascii="Times New Roman" w:hAnsi="Times New Roman"/>
          <w:sz w:val="16"/>
          <w:szCs w:val="16"/>
        </w:rPr>
        <w:t xml:space="preserve">image </w:t>
      </w:r>
      <w:r w:rsidR="00DE2876" w:rsidRPr="004468E1">
        <w:rPr>
          <w:rFonts w:ascii="Times New Roman" w:hAnsi="Times New Roman"/>
          <w:sz w:val="16"/>
          <w:szCs w:val="16"/>
        </w:rPr>
        <w:t xml:space="preserve">quality  in the various models of </w:t>
      </w:r>
      <w:r w:rsidR="004468E1" w:rsidRPr="004468E1">
        <w:rPr>
          <w:rFonts w:ascii="Times New Roman" w:hAnsi="Times New Roman"/>
          <w:sz w:val="16"/>
          <w:szCs w:val="16"/>
        </w:rPr>
        <w:t xml:space="preserve"> </w:t>
      </w:r>
      <w:r w:rsidR="00DE2876" w:rsidRPr="004468E1">
        <w:rPr>
          <w:rFonts w:ascii="Times New Roman" w:hAnsi="Times New Roman"/>
          <w:sz w:val="16"/>
          <w:szCs w:val="16"/>
        </w:rPr>
        <w:t xml:space="preserve">lenses for specific size and density of </w:t>
      </w:r>
      <w:r w:rsidR="004468E1" w:rsidRPr="004468E1">
        <w:rPr>
          <w:rFonts w:ascii="Times New Roman" w:hAnsi="Times New Roman"/>
          <w:sz w:val="16"/>
          <w:szCs w:val="16"/>
        </w:rPr>
        <w:t xml:space="preserve"> </w:t>
      </w:r>
      <w:r w:rsidR="00DE2876" w:rsidRPr="004468E1">
        <w:rPr>
          <w:rFonts w:ascii="Times New Roman" w:hAnsi="Times New Roman"/>
          <w:sz w:val="16"/>
          <w:szCs w:val="16"/>
        </w:rPr>
        <w:t>the vacuole formed.</w:t>
      </w:r>
      <w:r w:rsidR="00DE2876" w:rsidRPr="00DE2876">
        <w:rPr>
          <w:rFonts w:ascii="Times New Roman" w:hAnsi="Times New Roman"/>
          <w:sz w:val="16"/>
          <w:szCs w:val="16"/>
        </w:rPr>
        <w:t xml:space="preserve"> The analysis can be concluded that the degree of deterioration in the </w:t>
      </w:r>
      <w:r w:rsidR="004468E1">
        <w:rPr>
          <w:rFonts w:ascii="Times New Roman" w:hAnsi="Times New Roman"/>
          <w:sz w:val="16"/>
          <w:szCs w:val="16"/>
        </w:rPr>
        <w:t xml:space="preserve">image </w:t>
      </w:r>
      <w:r w:rsidR="00DE2876" w:rsidRPr="00DE2876">
        <w:rPr>
          <w:rFonts w:ascii="Times New Roman" w:hAnsi="Times New Roman"/>
          <w:sz w:val="16"/>
          <w:szCs w:val="16"/>
        </w:rPr>
        <w:t xml:space="preserve">quality with the same parameters </w:t>
      </w:r>
      <w:proofErr w:type="spellStart"/>
      <w:r w:rsidR="004468E1">
        <w:rPr>
          <w:rFonts w:ascii="Times New Roman" w:hAnsi="Times New Roman"/>
          <w:sz w:val="16"/>
          <w:szCs w:val="16"/>
        </w:rPr>
        <w:t>microvacuoles</w:t>
      </w:r>
      <w:proofErr w:type="spellEnd"/>
      <w:r w:rsidR="00DE2876" w:rsidRPr="00DE2876">
        <w:rPr>
          <w:rFonts w:ascii="Times New Roman" w:hAnsi="Times New Roman"/>
          <w:sz w:val="16"/>
          <w:szCs w:val="16"/>
        </w:rPr>
        <w:t xml:space="preserve"> is different. The impact of </w:t>
      </w:r>
      <w:proofErr w:type="spellStart"/>
      <w:r w:rsidR="00DE2876" w:rsidRPr="00DE2876">
        <w:rPr>
          <w:rFonts w:ascii="Times New Roman" w:hAnsi="Times New Roman"/>
          <w:sz w:val="16"/>
          <w:szCs w:val="16"/>
        </w:rPr>
        <w:t>glistennigs</w:t>
      </w:r>
      <w:proofErr w:type="spellEnd"/>
      <w:r w:rsidR="00DE2876" w:rsidRPr="00DE2876">
        <w:rPr>
          <w:rFonts w:ascii="Times New Roman" w:hAnsi="Times New Roman"/>
          <w:sz w:val="16"/>
          <w:szCs w:val="16"/>
        </w:rPr>
        <w:t xml:space="preserve"> the fidelity depends on design parameters of the lens.</w:t>
      </w:r>
    </w:p>
    <w:p w:rsidR="004A2788" w:rsidRPr="00DE2876" w:rsidRDefault="004A2788" w:rsidP="00AA64DF">
      <w:pPr>
        <w:pBdr>
          <w:bottom w:val="double" w:sz="4" w:space="1" w:color="auto"/>
        </w:pBdr>
        <w:jc w:val="both"/>
        <w:rPr>
          <w:sz w:val="16"/>
          <w:szCs w:val="16"/>
        </w:rPr>
      </w:pPr>
    </w:p>
    <w:p w:rsidR="004A2788" w:rsidRPr="00DE2876" w:rsidRDefault="004A2788" w:rsidP="004A2788">
      <w:pPr>
        <w:jc w:val="both"/>
        <w:rPr>
          <w:sz w:val="16"/>
          <w:szCs w:val="16"/>
        </w:rPr>
      </w:pPr>
    </w:p>
    <w:p w:rsidR="008A325C" w:rsidRPr="00201F9C" w:rsidRDefault="008A325C" w:rsidP="008A325C">
      <w:pPr>
        <w:pStyle w:val="Wcicienormalne"/>
        <w:ind w:firstLine="0"/>
        <w:rPr>
          <w:lang w:val="en-US"/>
        </w:rPr>
      </w:pPr>
      <w:r w:rsidRPr="00201F9C">
        <w:rPr>
          <w:b/>
          <w:lang w:val="en-US"/>
        </w:rPr>
        <w:t>INTRODUCTION</w:t>
      </w:r>
      <w:r w:rsidRPr="00201F9C">
        <w:rPr>
          <w:lang w:val="en-US"/>
        </w:rPr>
        <w:t xml:space="preserve"> </w:t>
      </w:r>
      <w:r w:rsidR="00201F9C" w:rsidRPr="00201F9C">
        <w:rPr>
          <w:lang w:val="en-US"/>
        </w:rPr>
        <w:t xml:space="preserve">Prolonged </w:t>
      </w:r>
      <w:r w:rsidR="00201F9C">
        <w:rPr>
          <w:lang w:val="en-US"/>
        </w:rPr>
        <w:t xml:space="preserve">exposure in the environment of </w:t>
      </w:r>
      <w:r w:rsidR="00201F9C" w:rsidRPr="00201F9C">
        <w:rPr>
          <w:lang w:val="en-US"/>
        </w:rPr>
        <w:t>aqueous humor</w:t>
      </w:r>
      <w:r w:rsidRPr="00201F9C">
        <w:rPr>
          <w:lang w:val="en-US"/>
        </w:rPr>
        <w:t xml:space="preserve"> </w:t>
      </w:r>
      <w:r w:rsidR="00201F9C">
        <w:rPr>
          <w:lang w:val="en-US"/>
        </w:rPr>
        <w:t xml:space="preserve">results in aging process of an intraocular lens (IOL), which leads to progressive degradation of an IOL surface and other changes in material properties. It may further on result in lowering patient’s visual quality and his everyday comfort. </w:t>
      </w:r>
    </w:p>
    <w:p w:rsidR="008A325C" w:rsidRPr="00201F9C" w:rsidRDefault="00201F9C" w:rsidP="008A325C">
      <w:pPr>
        <w:pStyle w:val="Wcicienormalne"/>
        <w:rPr>
          <w:lang w:val="en-US"/>
        </w:rPr>
      </w:pPr>
      <w:r w:rsidRPr="00201F9C">
        <w:rPr>
          <w:lang w:val="en-US"/>
        </w:rPr>
        <w:t xml:space="preserve">Due to increasing range of the problem, plenty of research </w:t>
      </w:r>
      <w:r w:rsidR="00747229" w:rsidRPr="00201F9C">
        <w:rPr>
          <w:lang w:val="en-US"/>
        </w:rPr>
        <w:t>are being conducted</w:t>
      </w:r>
      <w:r w:rsidR="00747229">
        <w:rPr>
          <w:lang w:val="en-US"/>
        </w:rPr>
        <w:t xml:space="preserve">, </w:t>
      </w:r>
      <w:r w:rsidRPr="00201F9C">
        <w:rPr>
          <w:lang w:val="en-US"/>
        </w:rPr>
        <w:t xml:space="preserve">describing and systematizing lesions in intraocular lenses after implantation </w:t>
      </w:r>
      <w:r w:rsidR="00771914" w:rsidRPr="00201F9C">
        <w:rPr>
          <w:lang w:val="en-US"/>
        </w:rPr>
        <w:t>[</w:t>
      </w:r>
      <w:r w:rsidR="007B0DED">
        <w:rPr>
          <w:lang w:val="en-US"/>
        </w:rPr>
        <w:t>2-15</w:t>
      </w:r>
      <w:r w:rsidR="00771914" w:rsidRPr="00201F9C">
        <w:rPr>
          <w:lang w:val="en-US"/>
        </w:rPr>
        <w:t>]</w:t>
      </w:r>
      <w:r w:rsidR="008A325C" w:rsidRPr="00201F9C">
        <w:rPr>
          <w:lang w:val="en-US"/>
        </w:rPr>
        <w:t xml:space="preserve">. </w:t>
      </w:r>
    </w:p>
    <w:p w:rsidR="008A325C" w:rsidRPr="00ED54E2" w:rsidRDefault="00747229" w:rsidP="008A325C">
      <w:pPr>
        <w:pStyle w:val="Wcicienormalne"/>
        <w:rPr>
          <w:lang w:val="en-US"/>
        </w:rPr>
      </w:pPr>
      <w:r w:rsidRPr="00747229">
        <w:rPr>
          <w:lang w:val="en-US"/>
        </w:rPr>
        <w:t>However</w:t>
      </w:r>
      <w:r w:rsidR="009F794C">
        <w:rPr>
          <w:lang w:val="en-US"/>
        </w:rPr>
        <w:t>,</w:t>
      </w:r>
      <w:r w:rsidRPr="00747229">
        <w:rPr>
          <w:lang w:val="en-US"/>
        </w:rPr>
        <w:t xml:space="preserve"> majority of them concern IOL materials, while very few </w:t>
      </w:r>
      <w:r w:rsidR="009F794C">
        <w:rPr>
          <w:lang w:val="en-US"/>
        </w:rPr>
        <w:t>f</w:t>
      </w:r>
      <w:r w:rsidRPr="00747229">
        <w:rPr>
          <w:lang w:val="en-US"/>
        </w:rPr>
        <w:t xml:space="preserve">ocus on impact of the lesions on visual quality. One of the most observed and discussed part of material degradation process is formation of microvacuoles </w:t>
      </w:r>
      <w:r w:rsidR="005A678A">
        <w:rPr>
          <w:lang w:val="en-US"/>
        </w:rPr>
        <w:t xml:space="preserve">filled with fluid, which tend to affect IOL optical properties and cause scattering of the light passing through the lens. This </w:t>
      </w:r>
      <w:r w:rsidR="009F794C">
        <w:rPr>
          <w:lang w:val="en-US"/>
        </w:rPr>
        <w:t>phenomenon</w:t>
      </w:r>
      <w:r w:rsidR="007456D7">
        <w:rPr>
          <w:lang w:val="en-US"/>
        </w:rPr>
        <w:t xml:space="preserve"> is called </w:t>
      </w:r>
      <w:proofErr w:type="spellStart"/>
      <w:r w:rsidR="009F794C">
        <w:rPr>
          <w:lang w:val="en-US"/>
        </w:rPr>
        <w:t>glistenings</w:t>
      </w:r>
      <w:proofErr w:type="spellEnd"/>
      <w:r w:rsidR="007456D7">
        <w:rPr>
          <w:lang w:val="en-US"/>
        </w:rPr>
        <w:t xml:space="preserve"> </w:t>
      </w:r>
      <w:r w:rsidR="00771914" w:rsidRPr="00ED54E2">
        <w:rPr>
          <w:lang w:val="en-US"/>
        </w:rPr>
        <w:t>[</w:t>
      </w:r>
      <w:r w:rsidR="007B0DED">
        <w:rPr>
          <w:lang w:val="en-US"/>
        </w:rPr>
        <w:t>6-15</w:t>
      </w:r>
      <w:r w:rsidR="00771914" w:rsidRPr="00ED54E2">
        <w:rPr>
          <w:lang w:val="en-US"/>
        </w:rPr>
        <w:t>]</w:t>
      </w:r>
      <w:r w:rsidR="00BA1F3B" w:rsidRPr="00ED54E2">
        <w:rPr>
          <w:lang w:val="en-US"/>
        </w:rPr>
        <w:t>.</w:t>
      </w:r>
      <w:r w:rsidR="008A325C" w:rsidRPr="00ED54E2">
        <w:rPr>
          <w:lang w:val="en-US"/>
        </w:rPr>
        <w:t xml:space="preserve"> </w:t>
      </w:r>
    </w:p>
    <w:p w:rsidR="00011F13" w:rsidRPr="00011F13" w:rsidRDefault="00ED54E2" w:rsidP="008A325C">
      <w:pPr>
        <w:pStyle w:val="Wcicienormalne"/>
        <w:rPr>
          <w:lang w:val="en-US"/>
        </w:rPr>
      </w:pPr>
      <w:r w:rsidRPr="00ED54E2">
        <w:rPr>
          <w:lang w:val="en-US"/>
        </w:rPr>
        <w:t xml:space="preserve">In order to evaluate the impact of </w:t>
      </w:r>
      <w:proofErr w:type="spellStart"/>
      <w:r w:rsidRPr="00ED54E2">
        <w:rPr>
          <w:lang w:val="en-US"/>
        </w:rPr>
        <w:t>glistenings</w:t>
      </w:r>
      <w:proofErr w:type="spellEnd"/>
      <w:r w:rsidRPr="00ED54E2">
        <w:rPr>
          <w:lang w:val="en-US"/>
        </w:rPr>
        <w:t xml:space="preserve"> on retinal image quality, Atchison eye model </w:t>
      </w:r>
      <w:r>
        <w:rPr>
          <w:lang w:val="en-US"/>
        </w:rPr>
        <w:t>[</w:t>
      </w:r>
      <w:r w:rsidR="007B0DED">
        <w:rPr>
          <w:lang w:val="en-US"/>
        </w:rPr>
        <w:t>1</w:t>
      </w:r>
      <w:r>
        <w:rPr>
          <w:lang w:val="en-US"/>
        </w:rPr>
        <w:t xml:space="preserve">] </w:t>
      </w:r>
      <w:r w:rsidRPr="00ED54E2">
        <w:rPr>
          <w:lang w:val="en-US"/>
        </w:rPr>
        <w:t>was implemented in popular softwar</w:t>
      </w:r>
      <w:r>
        <w:rPr>
          <w:lang w:val="en-US"/>
        </w:rPr>
        <w:t>e</w:t>
      </w:r>
      <w:r w:rsidRPr="00ED54E2">
        <w:rPr>
          <w:lang w:val="en-US"/>
        </w:rPr>
        <w:t xml:space="preserve"> used for ray-tracing – </w:t>
      </w:r>
      <w:proofErr w:type="spellStart"/>
      <w:r w:rsidRPr="00ED54E2">
        <w:rPr>
          <w:lang w:val="en-US"/>
        </w:rPr>
        <w:t>Zemax</w:t>
      </w:r>
      <w:proofErr w:type="spellEnd"/>
      <w:r w:rsidRPr="00ED54E2">
        <w:rPr>
          <w:lang w:val="en-US"/>
        </w:rPr>
        <w:t xml:space="preserve">. </w:t>
      </w:r>
      <w:r w:rsidR="000749FC">
        <w:rPr>
          <w:lang w:val="en-US"/>
        </w:rPr>
        <w:t xml:space="preserve">The crystalline lens was replaced with three commercially available IOLs made of different materials – acrylic and PMMA. </w:t>
      </w:r>
      <w:r w:rsidR="00491269" w:rsidRPr="00491269">
        <w:rPr>
          <w:lang w:val="en-US"/>
        </w:rPr>
        <w:t>Modulation transfer function (MTF) was used to compare the retinal image quality between a model including a homogenous lens and</w:t>
      </w:r>
      <w:r w:rsidR="00491269">
        <w:rPr>
          <w:lang w:val="en-US"/>
        </w:rPr>
        <w:t xml:space="preserve"> a</w:t>
      </w:r>
      <w:r w:rsidR="00491269" w:rsidRPr="00491269">
        <w:rPr>
          <w:lang w:val="en-US"/>
        </w:rPr>
        <w:t xml:space="preserve"> lens with </w:t>
      </w:r>
      <w:proofErr w:type="spellStart"/>
      <w:r w:rsidR="00491269" w:rsidRPr="00491269">
        <w:rPr>
          <w:lang w:val="en-US"/>
        </w:rPr>
        <w:t>glistenings</w:t>
      </w:r>
      <w:proofErr w:type="spellEnd"/>
      <w:r w:rsidR="00491269" w:rsidRPr="00491269">
        <w:rPr>
          <w:lang w:val="en-US"/>
        </w:rPr>
        <w:t>.</w:t>
      </w:r>
      <w:r w:rsidR="00491269">
        <w:rPr>
          <w:lang w:val="en-US"/>
        </w:rPr>
        <w:t xml:space="preserve"> </w:t>
      </w:r>
      <w:r w:rsidR="00491269" w:rsidRPr="00491269">
        <w:rPr>
          <w:lang w:val="en-US"/>
        </w:rPr>
        <w:t xml:space="preserve"> In order to study the impact of scattering on image quality in optic of </w:t>
      </w:r>
      <w:r w:rsidR="00011F13">
        <w:rPr>
          <w:lang w:val="en-US"/>
        </w:rPr>
        <w:t>different refractive index, the analysis included different materials of IOLs.</w:t>
      </w:r>
    </w:p>
    <w:p w:rsidR="00771914" w:rsidRPr="00BA1F3B" w:rsidRDefault="008A325C" w:rsidP="00771914">
      <w:pPr>
        <w:pStyle w:val="Wcicienormalne"/>
        <w:rPr>
          <w:lang w:val="pl-PL"/>
        </w:rPr>
      </w:pPr>
      <w:r w:rsidRPr="00180A40">
        <w:rPr>
          <w:b/>
          <w:lang w:val="en-US"/>
        </w:rPr>
        <w:t xml:space="preserve">METHODS </w:t>
      </w:r>
      <w:r w:rsidR="00180A40" w:rsidRPr="00180A40">
        <w:rPr>
          <w:lang w:val="en-US"/>
        </w:rPr>
        <w:t>Using Atchison eye model</w:t>
      </w:r>
      <w:r w:rsidR="00180A40">
        <w:rPr>
          <w:lang w:val="en-US"/>
        </w:rPr>
        <w:t xml:space="preserve"> [</w:t>
      </w:r>
      <w:r w:rsidR="007B0DED">
        <w:rPr>
          <w:lang w:val="en-US"/>
        </w:rPr>
        <w:t>1</w:t>
      </w:r>
      <w:r w:rsidR="00180A40">
        <w:rPr>
          <w:lang w:val="en-US"/>
        </w:rPr>
        <w:t>]</w:t>
      </w:r>
      <w:r w:rsidR="00180A40" w:rsidRPr="00180A40">
        <w:rPr>
          <w:lang w:val="en-US"/>
        </w:rPr>
        <w:t xml:space="preserve"> as the basis, a </w:t>
      </w:r>
      <w:proofErr w:type="spellStart"/>
      <w:r w:rsidR="00180A40" w:rsidRPr="00180A40">
        <w:rPr>
          <w:lang w:val="en-US"/>
        </w:rPr>
        <w:t>pseudophakic</w:t>
      </w:r>
      <w:proofErr w:type="spellEnd"/>
      <w:r w:rsidR="00180A40" w:rsidRPr="00180A40">
        <w:rPr>
          <w:lang w:val="en-US"/>
        </w:rPr>
        <w:t xml:space="preserve"> eye model was constructed by replacing the crystalline lens with </w:t>
      </w:r>
      <w:r w:rsidR="00A12235" w:rsidRPr="00180A40">
        <w:rPr>
          <w:lang w:val="en-US"/>
        </w:rPr>
        <w:t>a</w:t>
      </w:r>
      <w:r w:rsidR="00180A40">
        <w:rPr>
          <w:lang w:val="en-US"/>
        </w:rPr>
        <w:t xml:space="preserve"> 21.0 D</w:t>
      </w:r>
      <w:r w:rsidR="00180A40" w:rsidRPr="00180A40">
        <w:rPr>
          <w:lang w:val="en-US"/>
        </w:rPr>
        <w:t xml:space="preserve"> intraocular lens.</w:t>
      </w:r>
      <w:r w:rsidR="00180A40">
        <w:rPr>
          <w:lang w:val="en-US"/>
        </w:rPr>
        <w:t xml:space="preserve"> </w:t>
      </w:r>
      <w:r w:rsidR="00180A40" w:rsidRPr="00180A40">
        <w:rPr>
          <w:lang w:val="en-US"/>
        </w:rPr>
        <w:t>Abbe number of each optic in the model was calculated in order to receive optical image quality parameters in non-monochromatic light.</w:t>
      </w:r>
      <w:r w:rsidR="00180A40">
        <w:rPr>
          <w:lang w:val="en-US"/>
        </w:rPr>
        <w:t xml:space="preserve"> </w:t>
      </w:r>
      <w:r w:rsidR="00DF7C82" w:rsidRPr="00A12235">
        <w:rPr>
          <w:lang w:val="en-US"/>
        </w:rPr>
        <w:t xml:space="preserve">Models of three IOL materials – two acrylic of different </w:t>
      </w:r>
      <w:r w:rsidR="00DF7C82" w:rsidRPr="00DF7C82">
        <w:rPr>
          <w:lang w:val="en-US"/>
        </w:rPr>
        <w:t>refractive</w:t>
      </w:r>
      <w:r w:rsidR="00DF7C82" w:rsidRPr="00A12235">
        <w:rPr>
          <w:lang w:val="en-US"/>
        </w:rPr>
        <w:t xml:space="preserve"> index </w:t>
      </w:r>
      <w:r w:rsidR="00A12235" w:rsidRPr="00A12235">
        <w:rPr>
          <w:lang w:val="en-US"/>
        </w:rPr>
        <w:t>and one of PMMA, were analyzed in the study.</w:t>
      </w:r>
      <w:r w:rsidR="00A12235">
        <w:rPr>
          <w:b/>
          <w:lang w:val="en-US"/>
        </w:rPr>
        <w:t xml:space="preserve"> </w:t>
      </w:r>
      <w:r w:rsidR="00A12235" w:rsidRPr="00A12235">
        <w:rPr>
          <w:lang w:val="en-US"/>
        </w:rPr>
        <w:t xml:space="preserve">Table 1 gives the parameters of IOLs used. </w:t>
      </w:r>
    </w:p>
    <w:p w:rsidR="00771914" w:rsidRDefault="00771914" w:rsidP="00771914">
      <w:pPr>
        <w:pStyle w:val="Wcicienormalne"/>
        <w:rPr>
          <w:lang w:val="pl-PL"/>
        </w:rPr>
      </w:pPr>
    </w:p>
    <w:p w:rsidR="00771914" w:rsidRDefault="00A12235" w:rsidP="00771914">
      <w:pPr>
        <w:pStyle w:val="Wcicienormalne"/>
        <w:rPr>
          <w:lang w:val="pl-PL"/>
        </w:rPr>
      </w:pPr>
      <w:proofErr w:type="spellStart"/>
      <w:r>
        <w:rPr>
          <w:lang w:val="pl-PL"/>
        </w:rPr>
        <w:t>Table</w:t>
      </w:r>
      <w:proofErr w:type="spellEnd"/>
      <w:r>
        <w:rPr>
          <w:lang w:val="pl-PL"/>
        </w:rPr>
        <w:t xml:space="preserve">. </w:t>
      </w:r>
      <w:r w:rsidR="00771914">
        <w:rPr>
          <w:lang w:val="pl-PL"/>
        </w:rPr>
        <w:t>1</w:t>
      </w:r>
    </w:p>
    <w:tbl>
      <w:tblPr>
        <w:tblW w:w="0" w:type="auto"/>
        <w:tblBorders>
          <w:top w:val="single" w:sz="8" w:space="0" w:color="000000" w:themeColor="text1"/>
          <w:bottom w:val="single" w:sz="8" w:space="0" w:color="000000" w:themeColor="text1"/>
        </w:tblBorders>
        <w:tblLayout w:type="fixed"/>
        <w:tblLook w:val="04A0"/>
      </w:tblPr>
      <w:tblGrid>
        <w:gridCol w:w="675"/>
        <w:gridCol w:w="709"/>
        <w:gridCol w:w="644"/>
        <w:gridCol w:w="508"/>
        <w:gridCol w:w="577"/>
        <w:gridCol w:w="603"/>
        <w:gridCol w:w="645"/>
        <w:gridCol w:w="530"/>
      </w:tblGrid>
      <w:tr w:rsidR="00A12235" w:rsidRPr="00A03939" w:rsidTr="009D26E6">
        <w:tc>
          <w:tcPr>
            <w:tcW w:w="675" w:type="dxa"/>
          </w:tcPr>
          <w:p w:rsidR="00577EAB" w:rsidRPr="00903699" w:rsidRDefault="00A12235" w:rsidP="00577EAB">
            <w:pPr>
              <w:jc w:val="center"/>
              <w:rPr>
                <w:rFonts w:ascii="Times New Roman" w:hAnsi="Times New Roman"/>
                <w:sz w:val="16"/>
                <w:szCs w:val="18"/>
              </w:rPr>
            </w:pPr>
            <w:r>
              <w:rPr>
                <w:rFonts w:ascii="Times New Roman" w:hAnsi="Times New Roman"/>
                <w:sz w:val="16"/>
                <w:szCs w:val="18"/>
              </w:rPr>
              <w:t>Material</w:t>
            </w:r>
          </w:p>
        </w:tc>
        <w:tc>
          <w:tcPr>
            <w:tcW w:w="709" w:type="dxa"/>
          </w:tcPr>
          <w:p w:rsidR="00577EAB" w:rsidRPr="00903699" w:rsidRDefault="00A12235" w:rsidP="00A12235">
            <w:pPr>
              <w:jc w:val="center"/>
              <w:rPr>
                <w:rFonts w:ascii="Times New Roman" w:hAnsi="Times New Roman"/>
                <w:sz w:val="16"/>
                <w:szCs w:val="18"/>
              </w:rPr>
            </w:pPr>
            <w:r>
              <w:rPr>
                <w:rFonts w:ascii="Times New Roman" w:hAnsi="Times New Roman"/>
                <w:sz w:val="16"/>
                <w:szCs w:val="18"/>
              </w:rPr>
              <w:t>Manufacturer</w:t>
            </w:r>
          </w:p>
        </w:tc>
        <w:tc>
          <w:tcPr>
            <w:tcW w:w="644" w:type="dxa"/>
          </w:tcPr>
          <w:p w:rsidR="00577EAB" w:rsidRPr="00903699" w:rsidRDefault="00A12235" w:rsidP="00577EAB">
            <w:pPr>
              <w:jc w:val="center"/>
              <w:rPr>
                <w:rFonts w:ascii="Times New Roman" w:hAnsi="Times New Roman"/>
                <w:sz w:val="16"/>
                <w:szCs w:val="18"/>
              </w:rPr>
            </w:pPr>
            <w:r>
              <w:rPr>
                <w:rFonts w:ascii="Times New Roman" w:hAnsi="Times New Roman"/>
                <w:sz w:val="16"/>
                <w:szCs w:val="18"/>
              </w:rPr>
              <w:t>Refractive index</w:t>
            </w:r>
          </w:p>
        </w:tc>
        <w:tc>
          <w:tcPr>
            <w:tcW w:w="508" w:type="dxa"/>
          </w:tcPr>
          <w:p w:rsidR="00577EAB" w:rsidRPr="00903699" w:rsidRDefault="00A12235" w:rsidP="00577EAB">
            <w:pPr>
              <w:jc w:val="center"/>
              <w:rPr>
                <w:rFonts w:ascii="Times New Roman" w:hAnsi="Times New Roman"/>
                <w:sz w:val="16"/>
                <w:szCs w:val="18"/>
              </w:rPr>
            </w:pPr>
            <w:r>
              <w:rPr>
                <w:rFonts w:ascii="Times New Roman" w:hAnsi="Times New Roman"/>
                <w:sz w:val="16"/>
                <w:szCs w:val="18"/>
              </w:rPr>
              <w:t>Abbe number</w:t>
            </w:r>
          </w:p>
        </w:tc>
        <w:tc>
          <w:tcPr>
            <w:tcW w:w="577" w:type="dxa"/>
          </w:tcPr>
          <w:p w:rsidR="00577EAB" w:rsidRPr="00903699" w:rsidRDefault="00A12235" w:rsidP="00577EAB">
            <w:pPr>
              <w:jc w:val="center"/>
              <w:rPr>
                <w:rFonts w:ascii="Times New Roman" w:hAnsi="Times New Roman"/>
                <w:sz w:val="16"/>
                <w:szCs w:val="18"/>
              </w:rPr>
            </w:pPr>
            <w:r>
              <w:rPr>
                <w:rFonts w:ascii="Times New Roman" w:hAnsi="Times New Roman"/>
                <w:sz w:val="16"/>
                <w:szCs w:val="18"/>
              </w:rPr>
              <w:t>Radius of curvature 1</w:t>
            </w:r>
          </w:p>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[mm]</w:t>
            </w:r>
          </w:p>
        </w:tc>
        <w:tc>
          <w:tcPr>
            <w:tcW w:w="603" w:type="dxa"/>
          </w:tcPr>
          <w:p w:rsidR="00577EAB" w:rsidRPr="00903699" w:rsidRDefault="00A12235" w:rsidP="00577EAB">
            <w:pPr>
              <w:jc w:val="center"/>
              <w:rPr>
                <w:rFonts w:ascii="Times New Roman" w:hAnsi="Times New Roman"/>
                <w:sz w:val="16"/>
                <w:szCs w:val="18"/>
              </w:rPr>
            </w:pPr>
            <w:r>
              <w:rPr>
                <w:rFonts w:ascii="Times New Roman" w:hAnsi="Times New Roman"/>
                <w:sz w:val="16"/>
                <w:szCs w:val="18"/>
              </w:rPr>
              <w:t>Thickness</w:t>
            </w:r>
          </w:p>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[mm]</w:t>
            </w:r>
          </w:p>
        </w:tc>
        <w:tc>
          <w:tcPr>
            <w:tcW w:w="645" w:type="dxa"/>
          </w:tcPr>
          <w:p w:rsidR="00577EAB" w:rsidRPr="00903699" w:rsidRDefault="00A12235" w:rsidP="00577EAB">
            <w:pPr>
              <w:jc w:val="center"/>
              <w:rPr>
                <w:rFonts w:ascii="Times New Roman" w:hAnsi="Times New Roman"/>
                <w:sz w:val="16"/>
                <w:szCs w:val="18"/>
              </w:rPr>
            </w:pPr>
            <w:r>
              <w:rPr>
                <w:rFonts w:ascii="Times New Roman" w:hAnsi="Times New Roman"/>
                <w:sz w:val="16"/>
                <w:szCs w:val="18"/>
              </w:rPr>
              <w:t xml:space="preserve">Radius of curvature </w:t>
            </w:r>
            <w:r w:rsidR="00577EAB" w:rsidRPr="00903699">
              <w:rPr>
                <w:rFonts w:ascii="Times New Roman" w:hAnsi="Times New Roman"/>
                <w:sz w:val="16"/>
                <w:szCs w:val="18"/>
              </w:rPr>
              <w:t xml:space="preserve"> 2 </w:t>
            </w:r>
          </w:p>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[mm]</w:t>
            </w:r>
          </w:p>
        </w:tc>
        <w:tc>
          <w:tcPr>
            <w:tcW w:w="530" w:type="dxa"/>
          </w:tcPr>
          <w:p w:rsidR="00577EAB" w:rsidRPr="00903699" w:rsidRDefault="00A12235" w:rsidP="00577EAB">
            <w:pPr>
              <w:jc w:val="center"/>
              <w:rPr>
                <w:rFonts w:ascii="Times New Roman" w:hAnsi="Times New Roman"/>
                <w:sz w:val="16"/>
                <w:szCs w:val="18"/>
              </w:rPr>
            </w:pPr>
            <w:r>
              <w:rPr>
                <w:rFonts w:ascii="Times New Roman" w:hAnsi="Times New Roman"/>
                <w:sz w:val="16"/>
                <w:szCs w:val="18"/>
              </w:rPr>
              <w:t>A parameter</w:t>
            </w:r>
          </w:p>
        </w:tc>
      </w:tr>
      <w:tr w:rsidR="00A12235" w:rsidRPr="00A03939" w:rsidTr="009D26E6">
        <w:tc>
          <w:tcPr>
            <w:tcW w:w="675" w:type="dxa"/>
            <w:tcBorders>
              <w:top w:val="single" w:sz="8" w:space="0" w:color="000000" w:themeColor="text1"/>
              <w:bottom w:val="single" w:sz="4" w:space="0" w:color="auto"/>
            </w:tcBorders>
            <w:shd w:val="clear" w:color="auto" w:fill="FFFFFF" w:themeFill="background1"/>
          </w:tcPr>
          <w:p w:rsidR="00577EAB" w:rsidRPr="00903699" w:rsidRDefault="00577EAB" w:rsidP="00577EAB">
            <w:pPr>
              <w:jc w:val="center"/>
              <w:rPr>
                <w:rFonts w:ascii="Times New Roman" w:hAnsi="Times New Roman"/>
                <w:b/>
                <w:sz w:val="16"/>
                <w:szCs w:val="18"/>
              </w:rPr>
            </w:pPr>
            <w:r w:rsidRPr="00903699">
              <w:rPr>
                <w:rFonts w:ascii="Times New Roman" w:hAnsi="Times New Roman"/>
                <w:sz w:val="16"/>
                <w:szCs w:val="18"/>
              </w:rPr>
              <w:t>AR40N</w:t>
            </w:r>
          </w:p>
        </w:tc>
        <w:tc>
          <w:tcPr>
            <w:tcW w:w="709" w:type="dxa"/>
            <w:tcBorders>
              <w:top w:val="single" w:sz="8" w:space="0" w:color="000000" w:themeColor="text1"/>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Allergan</w:t>
            </w:r>
          </w:p>
        </w:tc>
        <w:tc>
          <w:tcPr>
            <w:tcW w:w="644" w:type="dxa"/>
            <w:tcBorders>
              <w:top w:val="single" w:sz="8" w:space="0" w:color="000000" w:themeColor="text1"/>
              <w:bottom w:val="single" w:sz="4" w:space="0" w:color="auto"/>
            </w:tcBorders>
            <w:shd w:val="clear" w:color="auto" w:fill="FFFFFF" w:themeFill="background1"/>
          </w:tcPr>
          <w:p w:rsidR="00577EAB" w:rsidRPr="00903699" w:rsidRDefault="00577EAB" w:rsidP="00577EAB">
            <w:pPr>
              <w:jc w:val="center"/>
              <w:rPr>
                <w:rFonts w:ascii="Times New Roman" w:eastAsiaTheme="minorEastAsia" w:hAnsi="Times New Roman"/>
                <w:sz w:val="16"/>
                <w:szCs w:val="18"/>
              </w:rPr>
            </w:pPr>
            <w:r w:rsidRPr="00903699">
              <w:rPr>
                <w:rFonts w:ascii="Times New Roman" w:eastAsiaTheme="minorEastAsia" w:hAnsi="Times New Roman"/>
                <w:sz w:val="16"/>
                <w:szCs w:val="18"/>
              </w:rPr>
              <w:t>1.470</w:t>
            </w:r>
          </w:p>
        </w:tc>
        <w:tc>
          <w:tcPr>
            <w:tcW w:w="508" w:type="dxa"/>
            <w:tcBorders>
              <w:top w:val="single" w:sz="8" w:space="0" w:color="000000" w:themeColor="text1"/>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71.0</w:t>
            </w:r>
          </w:p>
        </w:tc>
        <w:tc>
          <w:tcPr>
            <w:tcW w:w="577" w:type="dxa"/>
            <w:tcBorders>
              <w:top w:val="single" w:sz="8" w:space="0" w:color="000000" w:themeColor="text1"/>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12.71</w:t>
            </w:r>
          </w:p>
        </w:tc>
        <w:tc>
          <w:tcPr>
            <w:tcW w:w="603" w:type="dxa"/>
            <w:tcBorders>
              <w:top w:val="single" w:sz="8" w:space="0" w:color="000000" w:themeColor="text1"/>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1.008</w:t>
            </w:r>
          </w:p>
        </w:tc>
        <w:tc>
          <w:tcPr>
            <w:tcW w:w="645" w:type="dxa"/>
            <w:tcBorders>
              <w:top w:val="single" w:sz="8" w:space="0" w:color="000000" w:themeColor="text1"/>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-12.71</w:t>
            </w:r>
          </w:p>
        </w:tc>
        <w:tc>
          <w:tcPr>
            <w:tcW w:w="530" w:type="dxa"/>
            <w:tcBorders>
              <w:top w:val="single" w:sz="8" w:space="0" w:color="000000" w:themeColor="text1"/>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118.4</w:t>
            </w:r>
          </w:p>
        </w:tc>
      </w:tr>
      <w:tr w:rsidR="00A12235" w:rsidRPr="00A03939" w:rsidTr="009D26E6">
        <w:tc>
          <w:tcPr>
            <w:tcW w:w="675"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b/>
                <w:sz w:val="16"/>
                <w:szCs w:val="18"/>
              </w:rPr>
            </w:pPr>
            <w:r w:rsidRPr="00903699">
              <w:rPr>
                <w:rFonts w:ascii="Times New Roman" w:hAnsi="Times New Roman"/>
                <w:sz w:val="16"/>
                <w:szCs w:val="18"/>
              </w:rPr>
              <w:t>P359UV</w:t>
            </w:r>
          </w:p>
        </w:tc>
        <w:tc>
          <w:tcPr>
            <w:tcW w:w="709"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proofErr w:type="spellStart"/>
            <w:r w:rsidRPr="00903699">
              <w:rPr>
                <w:rFonts w:ascii="Times New Roman" w:hAnsi="Times New Roman"/>
                <w:sz w:val="16"/>
                <w:szCs w:val="18"/>
              </w:rPr>
              <w:t>Bausch&amp;Lomb</w:t>
            </w:r>
            <w:proofErr w:type="spellEnd"/>
          </w:p>
        </w:tc>
        <w:tc>
          <w:tcPr>
            <w:tcW w:w="644"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1.493</w:t>
            </w:r>
          </w:p>
        </w:tc>
        <w:tc>
          <w:tcPr>
            <w:tcW w:w="508"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57.4</w:t>
            </w:r>
          </w:p>
        </w:tc>
        <w:tc>
          <w:tcPr>
            <w:tcW w:w="577"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15.00</w:t>
            </w:r>
          </w:p>
        </w:tc>
        <w:tc>
          <w:tcPr>
            <w:tcW w:w="603"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1.000</w:t>
            </w:r>
          </w:p>
        </w:tc>
        <w:tc>
          <w:tcPr>
            <w:tcW w:w="645"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-15.00</w:t>
            </w:r>
          </w:p>
        </w:tc>
        <w:tc>
          <w:tcPr>
            <w:tcW w:w="530"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118.0</w:t>
            </w:r>
          </w:p>
        </w:tc>
      </w:tr>
      <w:tr w:rsidR="00A12235" w:rsidRPr="00A03939" w:rsidTr="009D26E6">
        <w:tc>
          <w:tcPr>
            <w:tcW w:w="675"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b/>
                <w:sz w:val="16"/>
                <w:szCs w:val="18"/>
              </w:rPr>
            </w:pPr>
            <w:proofErr w:type="spellStart"/>
            <w:r w:rsidRPr="00903699">
              <w:rPr>
                <w:rFonts w:ascii="Times New Roman" w:hAnsi="Times New Roman"/>
                <w:sz w:val="16"/>
                <w:szCs w:val="18"/>
              </w:rPr>
              <w:t>Acrysoft</w:t>
            </w:r>
            <w:proofErr w:type="spellEnd"/>
            <w:r w:rsidRPr="00903699">
              <w:rPr>
                <w:rFonts w:ascii="Times New Roman" w:hAnsi="Times New Roman"/>
                <w:sz w:val="16"/>
                <w:szCs w:val="18"/>
              </w:rPr>
              <w:t xml:space="preserve"> MA60BM</w:t>
            </w:r>
          </w:p>
        </w:tc>
        <w:tc>
          <w:tcPr>
            <w:tcW w:w="709"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Alcon</w:t>
            </w:r>
          </w:p>
        </w:tc>
        <w:tc>
          <w:tcPr>
            <w:tcW w:w="644"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1.552</w:t>
            </w:r>
          </w:p>
        </w:tc>
        <w:tc>
          <w:tcPr>
            <w:tcW w:w="508" w:type="dxa"/>
            <w:tcBorders>
              <w:top w:val="single" w:sz="4" w:space="0" w:color="auto"/>
              <w:bottom w:val="single" w:sz="4" w:space="0" w:color="auto"/>
            </w:tcBorders>
            <w:shd w:val="clear" w:color="auto" w:fill="FFFFFF" w:themeFill="background1"/>
          </w:tcPr>
          <w:p w:rsidR="00577EAB" w:rsidRPr="00903699" w:rsidRDefault="00577EAB" w:rsidP="00577EAB">
            <w:pPr>
              <w:jc w:val="center"/>
              <w:rPr>
                <w:rFonts w:ascii="Times New Roman" w:hAnsi="Times New Roman"/>
                <w:sz w:val="16"/>
                <w:szCs w:val="18"/>
              </w:rPr>
            </w:pPr>
            <w:r w:rsidRPr="00903699">
              <w:rPr>
                <w:rFonts w:ascii="Times New Roman" w:hAnsi="Times New Roman"/>
                <w:sz w:val="16"/>
                <w:szCs w:val="18"/>
              </w:rPr>
              <w:t>46.4</w:t>
            </w:r>
          </w:p>
        </w:tc>
        <w:tc>
          <w:tcPr>
            <w:tcW w:w="577" w:type="dxa"/>
            <w:tcBorders>
              <w:top w:val="single" w:sz="4" w:space="0" w:color="auto"/>
              <w:bottom w:val="single" w:sz="4" w:space="0" w:color="auto"/>
            </w:tcBorders>
            <w:shd w:val="clear" w:color="auto" w:fill="FFFFFF" w:themeFill="background1"/>
          </w:tcPr>
          <w:p w:rsidR="00577EAB" w:rsidRPr="00903699" w:rsidRDefault="00577EAB" w:rsidP="00577EAB">
            <w:pPr>
              <w:keepNext/>
              <w:jc w:val="center"/>
              <w:rPr>
                <w:rFonts w:ascii="Times New Roman" w:hAnsi="Times New Roman"/>
                <w:sz w:val="16"/>
                <w:szCs w:val="18"/>
              </w:rPr>
            </w:pPr>
            <w:r w:rsidRPr="00903699">
              <w:rPr>
                <w:rFonts w:ascii="Times New Roman" w:hAnsi="Times New Roman"/>
                <w:sz w:val="16"/>
                <w:szCs w:val="18"/>
              </w:rPr>
              <w:t>32.00</w:t>
            </w:r>
          </w:p>
        </w:tc>
        <w:tc>
          <w:tcPr>
            <w:tcW w:w="603" w:type="dxa"/>
            <w:tcBorders>
              <w:top w:val="single" w:sz="4" w:space="0" w:color="auto"/>
              <w:bottom w:val="single" w:sz="4" w:space="0" w:color="auto"/>
            </w:tcBorders>
            <w:shd w:val="clear" w:color="auto" w:fill="FFFFFF" w:themeFill="background1"/>
          </w:tcPr>
          <w:p w:rsidR="00577EAB" w:rsidRPr="00903699" w:rsidRDefault="00577EAB" w:rsidP="00577EAB">
            <w:pPr>
              <w:keepNext/>
              <w:jc w:val="center"/>
              <w:rPr>
                <w:rFonts w:ascii="Times New Roman" w:hAnsi="Times New Roman"/>
                <w:sz w:val="16"/>
                <w:szCs w:val="18"/>
              </w:rPr>
            </w:pPr>
            <w:r w:rsidRPr="00903699">
              <w:rPr>
                <w:rFonts w:ascii="Times New Roman" w:hAnsi="Times New Roman"/>
                <w:sz w:val="16"/>
                <w:szCs w:val="18"/>
              </w:rPr>
              <w:t>0.800</w:t>
            </w:r>
          </w:p>
        </w:tc>
        <w:tc>
          <w:tcPr>
            <w:tcW w:w="645" w:type="dxa"/>
            <w:tcBorders>
              <w:top w:val="single" w:sz="4" w:space="0" w:color="auto"/>
              <w:bottom w:val="single" w:sz="4" w:space="0" w:color="auto"/>
            </w:tcBorders>
            <w:shd w:val="clear" w:color="auto" w:fill="FFFFFF" w:themeFill="background1"/>
          </w:tcPr>
          <w:p w:rsidR="00577EAB" w:rsidRPr="00903699" w:rsidRDefault="00577EAB" w:rsidP="00577EAB">
            <w:pPr>
              <w:keepNext/>
              <w:jc w:val="center"/>
              <w:rPr>
                <w:rFonts w:ascii="Times New Roman" w:hAnsi="Times New Roman"/>
                <w:sz w:val="16"/>
                <w:szCs w:val="18"/>
              </w:rPr>
            </w:pPr>
            <w:r w:rsidRPr="00903699">
              <w:rPr>
                <w:rFonts w:ascii="Times New Roman" w:hAnsi="Times New Roman"/>
                <w:sz w:val="16"/>
                <w:szCs w:val="18"/>
              </w:rPr>
              <w:t>-15.00</w:t>
            </w:r>
          </w:p>
        </w:tc>
        <w:tc>
          <w:tcPr>
            <w:tcW w:w="530" w:type="dxa"/>
            <w:tcBorders>
              <w:top w:val="single" w:sz="4" w:space="0" w:color="auto"/>
              <w:bottom w:val="single" w:sz="4" w:space="0" w:color="auto"/>
            </w:tcBorders>
            <w:shd w:val="clear" w:color="auto" w:fill="FFFFFF" w:themeFill="background1"/>
          </w:tcPr>
          <w:p w:rsidR="00577EAB" w:rsidRPr="00903699" w:rsidRDefault="00577EAB" w:rsidP="00577EAB">
            <w:pPr>
              <w:keepNext/>
              <w:jc w:val="center"/>
              <w:rPr>
                <w:rFonts w:ascii="Times New Roman" w:hAnsi="Times New Roman"/>
                <w:sz w:val="16"/>
                <w:szCs w:val="18"/>
              </w:rPr>
            </w:pPr>
            <w:r w:rsidRPr="00903699">
              <w:rPr>
                <w:rFonts w:ascii="Times New Roman" w:hAnsi="Times New Roman"/>
                <w:sz w:val="16"/>
                <w:szCs w:val="18"/>
              </w:rPr>
              <w:t>118.9</w:t>
            </w:r>
          </w:p>
        </w:tc>
      </w:tr>
    </w:tbl>
    <w:p w:rsidR="00771914" w:rsidRDefault="00771914" w:rsidP="00771914">
      <w:pPr>
        <w:pStyle w:val="Wcicienormalne"/>
      </w:pPr>
    </w:p>
    <w:p w:rsidR="00B52E36" w:rsidRPr="00E30EE8" w:rsidRDefault="0020462C" w:rsidP="009258DB">
      <w:pPr>
        <w:pStyle w:val="Wcicienormalne"/>
        <w:ind w:firstLine="0"/>
        <w:rPr>
          <w:lang w:val="en-US"/>
        </w:rPr>
      </w:pPr>
      <w:r>
        <w:rPr>
          <w:lang w:val="en-US"/>
        </w:rPr>
        <w:tab/>
      </w:r>
      <w:r w:rsidR="00E30EE8" w:rsidRPr="00E30EE8">
        <w:rPr>
          <w:lang w:val="en-US"/>
        </w:rPr>
        <w:t>Retina</w:t>
      </w:r>
      <w:r w:rsidR="00F8121D">
        <w:rPr>
          <w:lang w:val="en-US"/>
        </w:rPr>
        <w:t xml:space="preserve"> position in every model was opt</w:t>
      </w:r>
      <w:r w:rsidR="00E30EE8" w:rsidRPr="00E30EE8">
        <w:rPr>
          <w:lang w:val="en-US"/>
        </w:rPr>
        <w:t>imized</w:t>
      </w:r>
      <w:r w:rsidR="00273307">
        <w:rPr>
          <w:lang w:val="en-US"/>
        </w:rPr>
        <w:t xml:space="preserve"> by </w:t>
      </w:r>
      <w:proofErr w:type="spellStart"/>
      <w:r w:rsidR="00273307">
        <w:rPr>
          <w:lang w:val="en-US"/>
        </w:rPr>
        <w:t>Zemax</w:t>
      </w:r>
      <w:proofErr w:type="spellEnd"/>
      <w:r w:rsidR="00273307">
        <w:rPr>
          <w:lang w:val="en-US"/>
        </w:rPr>
        <w:t xml:space="preserve"> tools</w:t>
      </w:r>
      <w:r w:rsidR="00E30EE8" w:rsidRPr="00E30EE8">
        <w:rPr>
          <w:lang w:val="en-US"/>
        </w:rPr>
        <w:t xml:space="preserve"> to receive the best </w:t>
      </w:r>
      <w:r w:rsidR="00EB2BBF" w:rsidRPr="00E30EE8">
        <w:rPr>
          <w:lang w:val="en-US"/>
        </w:rPr>
        <w:t>polychromatic</w:t>
      </w:r>
      <w:r w:rsidR="00E30EE8" w:rsidRPr="00E30EE8">
        <w:rPr>
          <w:lang w:val="en-US"/>
        </w:rPr>
        <w:t xml:space="preserve"> optical quality for the paraxial rays.</w:t>
      </w:r>
    </w:p>
    <w:p w:rsidR="00FA3C76" w:rsidRPr="007D75F4" w:rsidRDefault="004035DC" w:rsidP="00FA3C76">
      <w:pPr>
        <w:pStyle w:val="Wcicienormalne"/>
        <w:rPr>
          <w:lang w:val="en-US"/>
        </w:rPr>
      </w:pPr>
      <w:r w:rsidRPr="004035DC">
        <w:rPr>
          <w:lang w:val="en-US"/>
        </w:rPr>
        <w:t xml:space="preserve">For this analysis, </w:t>
      </w:r>
      <w:r w:rsidR="00273307">
        <w:rPr>
          <w:lang w:val="en-US"/>
        </w:rPr>
        <w:t xml:space="preserve">we simulated </w:t>
      </w:r>
      <w:r w:rsidRPr="004035DC">
        <w:rPr>
          <w:lang w:val="en-US"/>
        </w:rPr>
        <w:t>scattering on microvacuoles in intraocular</w:t>
      </w:r>
      <w:r w:rsidR="00273307">
        <w:rPr>
          <w:lang w:val="en-US"/>
        </w:rPr>
        <w:t xml:space="preserve"> lenses</w:t>
      </w:r>
      <w:r w:rsidRPr="004035DC">
        <w:rPr>
          <w:lang w:val="en-US"/>
        </w:rPr>
        <w:t xml:space="preserve">. </w:t>
      </w:r>
      <w:proofErr w:type="spellStart"/>
      <w:r w:rsidR="007D75F4" w:rsidRPr="007D75F4">
        <w:rPr>
          <w:lang w:val="en-US"/>
        </w:rPr>
        <w:t>Glistenings</w:t>
      </w:r>
      <w:proofErr w:type="spellEnd"/>
      <w:r w:rsidR="007D75F4" w:rsidRPr="007D75F4">
        <w:rPr>
          <w:lang w:val="en-US"/>
        </w:rPr>
        <w:t xml:space="preserve"> were </w:t>
      </w:r>
      <w:proofErr w:type="spellStart"/>
      <w:r w:rsidR="007D75F4" w:rsidRPr="007D75F4">
        <w:rPr>
          <w:lang w:val="en-US"/>
        </w:rPr>
        <w:t>modelled</w:t>
      </w:r>
      <w:proofErr w:type="spellEnd"/>
      <w:r w:rsidR="007D75F4" w:rsidRPr="007D75F4">
        <w:rPr>
          <w:lang w:val="en-US"/>
        </w:rPr>
        <w:t xml:space="preserve"> as spherical </w:t>
      </w:r>
      <w:proofErr w:type="spellStart"/>
      <w:r w:rsidR="002012B3">
        <w:rPr>
          <w:lang w:val="en-US"/>
        </w:rPr>
        <w:t>inhomogeneities</w:t>
      </w:r>
      <w:proofErr w:type="spellEnd"/>
      <w:r w:rsidR="007D75F4" w:rsidRPr="007D75F4">
        <w:rPr>
          <w:lang w:val="en-US"/>
        </w:rPr>
        <w:t xml:space="preserve"> filled with aqueous humor randomly located i</w:t>
      </w:r>
      <w:r w:rsidR="007D75F4">
        <w:rPr>
          <w:lang w:val="en-US"/>
        </w:rPr>
        <w:t>n IOL material.</w:t>
      </w:r>
    </w:p>
    <w:p w:rsidR="009F0D1A" w:rsidRDefault="002012B3" w:rsidP="00FA3C76">
      <w:pPr>
        <w:pStyle w:val="Wcicienormalne"/>
        <w:rPr>
          <w:lang w:val="en-US"/>
        </w:rPr>
      </w:pPr>
      <w:r w:rsidRPr="002012B3">
        <w:rPr>
          <w:lang w:val="en-US"/>
        </w:rPr>
        <w:t xml:space="preserve">These </w:t>
      </w:r>
      <w:proofErr w:type="spellStart"/>
      <w:r>
        <w:rPr>
          <w:lang w:val="en-US"/>
        </w:rPr>
        <w:t>in</w:t>
      </w:r>
      <w:r w:rsidRPr="002012B3">
        <w:rPr>
          <w:lang w:val="en-US"/>
        </w:rPr>
        <w:t>homogeneities</w:t>
      </w:r>
      <w:proofErr w:type="spellEnd"/>
      <w:r w:rsidRPr="002012B3">
        <w:rPr>
          <w:lang w:val="en-US"/>
        </w:rPr>
        <w:t xml:space="preserve"> cause scattering of the light passing through the intraocular lens. </w:t>
      </w:r>
      <w:r w:rsidRPr="0030143E">
        <w:rPr>
          <w:lang w:val="en-US"/>
        </w:rPr>
        <w:t xml:space="preserve">Mie scattering was used in the study. </w:t>
      </w:r>
      <w:r w:rsidR="00273307">
        <w:rPr>
          <w:lang w:val="en-US"/>
        </w:rPr>
        <w:t>This</w:t>
      </w:r>
      <w:r w:rsidR="00084947" w:rsidRPr="00084947">
        <w:rPr>
          <w:lang w:val="en-US"/>
        </w:rPr>
        <w:t xml:space="preserve"> scattering was simulated in </w:t>
      </w:r>
      <w:proofErr w:type="spellStart"/>
      <w:r w:rsidR="00084947" w:rsidRPr="00084947">
        <w:rPr>
          <w:lang w:val="en-US"/>
        </w:rPr>
        <w:t>Zemax</w:t>
      </w:r>
      <w:proofErr w:type="spellEnd"/>
      <w:r w:rsidR="00084947" w:rsidRPr="00084947">
        <w:rPr>
          <w:lang w:val="en-US"/>
        </w:rPr>
        <w:t xml:space="preserve"> using a built-in source code.</w:t>
      </w:r>
      <w:r w:rsidR="00FA3C76" w:rsidRPr="00084947">
        <w:rPr>
          <w:lang w:val="en-US"/>
        </w:rPr>
        <w:t xml:space="preserve"> </w:t>
      </w:r>
      <w:r w:rsidR="00032331" w:rsidRPr="00C179E1">
        <w:rPr>
          <w:lang w:val="en-US"/>
        </w:rPr>
        <w:t>The variables c</w:t>
      </w:r>
      <w:r w:rsidR="00273307">
        <w:rPr>
          <w:lang w:val="en-US"/>
        </w:rPr>
        <w:t>hanged during the study were the</w:t>
      </w:r>
      <w:r w:rsidR="00032331" w:rsidRPr="00C179E1">
        <w:rPr>
          <w:lang w:val="en-US"/>
        </w:rPr>
        <w:t xml:space="preserve"> number of vacuoles per cm</w:t>
      </w:r>
      <w:r w:rsidR="00032331" w:rsidRPr="00C179E1">
        <w:rPr>
          <w:vertAlign w:val="superscript"/>
          <w:lang w:val="en-US"/>
        </w:rPr>
        <w:t>3</w:t>
      </w:r>
      <w:r w:rsidR="00C179E1" w:rsidRPr="00C179E1">
        <w:rPr>
          <w:vertAlign w:val="superscript"/>
          <w:lang w:val="en-US"/>
        </w:rPr>
        <w:t xml:space="preserve"> </w:t>
      </w:r>
      <w:r w:rsidR="00273307">
        <w:rPr>
          <w:lang w:val="en-US"/>
        </w:rPr>
        <w:t>of the element, the</w:t>
      </w:r>
      <w:r w:rsidR="00C179E1">
        <w:rPr>
          <w:lang w:val="en-US"/>
        </w:rPr>
        <w:t xml:space="preserve"> diameter of a single microvacuole and other factors describing probability of </w:t>
      </w:r>
      <w:r w:rsidR="00652DB4">
        <w:rPr>
          <w:lang w:val="en-US"/>
        </w:rPr>
        <w:t xml:space="preserve">scattering. In order to fully analyze the impact </w:t>
      </w:r>
      <w:r w:rsidR="00A57EAD">
        <w:rPr>
          <w:lang w:val="en-US"/>
        </w:rPr>
        <w:t>o</w:t>
      </w:r>
      <w:r w:rsidR="00652DB4">
        <w:rPr>
          <w:lang w:val="en-US"/>
        </w:rPr>
        <w:t>f pupil diameter and den</w:t>
      </w:r>
      <w:r w:rsidR="00A57EAD">
        <w:rPr>
          <w:lang w:val="en-US"/>
        </w:rPr>
        <w:t>sity of microvacuoles on image q</w:t>
      </w:r>
      <w:r w:rsidR="00652DB4">
        <w:rPr>
          <w:lang w:val="en-US"/>
        </w:rPr>
        <w:t xml:space="preserve">uality in </w:t>
      </w:r>
      <w:proofErr w:type="spellStart"/>
      <w:r w:rsidR="00652DB4">
        <w:rPr>
          <w:lang w:val="en-US"/>
        </w:rPr>
        <w:t>pseudophakic</w:t>
      </w:r>
      <w:proofErr w:type="spellEnd"/>
      <w:r w:rsidR="00652DB4">
        <w:rPr>
          <w:lang w:val="en-US"/>
        </w:rPr>
        <w:t xml:space="preserve"> eye </w:t>
      </w:r>
      <w:r w:rsidR="00652DB4">
        <w:rPr>
          <w:lang w:val="en-US"/>
        </w:rPr>
        <w:lastRenderedPageBreak/>
        <w:t xml:space="preserve">model, three grades of </w:t>
      </w:r>
      <w:proofErr w:type="spellStart"/>
      <w:r w:rsidR="00652DB4">
        <w:rPr>
          <w:lang w:val="en-US"/>
        </w:rPr>
        <w:t>glistenings</w:t>
      </w:r>
      <w:proofErr w:type="spellEnd"/>
      <w:r w:rsidR="00652DB4">
        <w:rPr>
          <w:lang w:val="en-US"/>
        </w:rPr>
        <w:t xml:space="preserve"> introduced by Miyata [</w:t>
      </w:r>
      <w:r w:rsidR="004468E1">
        <w:rPr>
          <w:lang w:val="en-US"/>
        </w:rPr>
        <w:t>2</w:t>
      </w:r>
      <w:r w:rsidR="00652DB4">
        <w:rPr>
          <w:lang w:val="en-US"/>
        </w:rPr>
        <w:t xml:space="preserve">] were considered. </w:t>
      </w:r>
    </w:p>
    <w:p w:rsidR="004C57D9" w:rsidRPr="009D26E6" w:rsidRDefault="005D61D8" w:rsidP="00FA3C76">
      <w:pPr>
        <w:pStyle w:val="Wcicienormalne"/>
        <w:rPr>
          <w:lang w:val="en-US"/>
        </w:rPr>
      </w:pPr>
      <w:r>
        <w:rPr>
          <w:lang w:val="en-US"/>
        </w:rPr>
        <w:t>Two parameters were calculated to a</w:t>
      </w:r>
      <w:r w:rsidR="004468E1">
        <w:rPr>
          <w:lang w:val="en-US"/>
        </w:rPr>
        <w:t>nalyze image quality – MTF50</w:t>
      </w:r>
      <w:r>
        <w:rPr>
          <w:lang w:val="en-US"/>
        </w:rPr>
        <w:t xml:space="preserve"> [</w:t>
      </w:r>
      <w:r w:rsidR="004468E1">
        <w:rPr>
          <w:lang w:val="en-US"/>
        </w:rPr>
        <w:t xml:space="preserve">17] and </w:t>
      </w:r>
      <w:proofErr w:type="spellStart"/>
      <w:r w:rsidR="004468E1">
        <w:rPr>
          <w:lang w:val="en-US"/>
        </w:rPr>
        <w:t>MTFDrop</w:t>
      </w:r>
      <w:proofErr w:type="spellEnd"/>
      <w:r w:rsidR="004468E1">
        <w:rPr>
          <w:lang w:val="en-US"/>
        </w:rPr>
        <w:t xml:space="preserve"> </w:t>
      </w:r>
      <w:r>
        <w:rPr>
          <w:lang w:val="en-US"/>
        </w:rPr>
        <w:t>[</w:t>
      </w:r>
      <w:r w:rsidR="004468E1">
        <w:rPr>
          <w:lang w:val="en-US"/>
        </w:rPr>
        <w:t>16</w:t>
      </w:r>
      <w:r>
        <w:rPr>
          <w:lang w:val="en-US"/>
        </w:rPr>
        <w:t xml:space="preserve">]. </w:t>
      </w:r>
      <w:r w:rsidR="00B27241">
        <w:rPr>
          <w:lang w:val="en-US"/>
        </w:rPr>
        <w:t xml:space="preserve">Second one describes decrease in the image quality. The drop was </w:t>
      </w:r>
      <w:r w:rsidR="00263589">
        <w:rPr>
          <w:lang w:val="en-US"/>
        </w:rPr>
        <w:t>calculated</w:t>
      </w:r>
      <w:r w:rsidR="00B27241">
        <w:rPr>
          <w:lang w:val="en-US"/>
        </w:rPr>
        <w:t xml:space="preserve"> for 4.35 cycles/degree frequency. It was a value for which at least one model reached the first minimum. </w:t>
      </w:r>
      <w:r w:rsidR="00B27241" w:rsidRPr="009D26E6">
        <w:rPr>
          <w:lang w:val="en-US"/>
        </w:rPr>
        <w:t xml:space="preserve">This </w:t>
      </w:r>
      <w:r w:rsidR="004C57D9" w:rsidRPr="0003557E">
        <w:rPr>
          <w:lang w:val="en-US"/>
        </w:rPr>
        <w:t>choic</w:t>
      </w:r>
      <w:r w:rsidR="00B27241" w:rsidRPr="0003557E">
        <w:rPr>
          <w:lang w:val="en-US"/>
        </w:rPr>
        <w:t>e</w:t>
      </w:r>
      <w:r w:rsidR="00B27241" w:rsidRPr="009D26E6">
        <w:rPr>
          <w:lang w:val="en-US"/>
        </w:rPr>
        <w:t xml:space="preserve"> prevented us from analyzing noises. </w:t>
      </w:r>
    </w:p>
    <w:p w:rsidR="00263589" w:rsidRPr="009D26E6" w:rsidRDefault="0003557E" w:rsidP="00FA3C76">
      <w:pPr>
        <w:pStyle w:val="Wcicienormalne"/>
        <w:rPr>
          <w:lang w:val="en-US"/>
        </w:rPr>
      </w:pPr>
      <w:r w:rsidRPr="00B766A4">
        <w:rPr>
          <w:position w:val="-30"/>
          <w:lang w:val="en-US"/>
        </w:rPr>
        <w:object w:dxaOrig="40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05pt;height:27.55pt" o:ole="">
            <v:imagedata r:id="rId8" o:title=""/>
          </v:shape>
          <o:OLEObject Type="Embed" ProgID="Equation.3" ShapeID="_x0000_i1025" DrawAspect="Content" ObjectID="_1503082708" r:id="rId9"/>
        </w:object>
      </w:r>
      <w:r w:rsidR="00B766A4" w:rsidRPr="009D26E6">
        <w:rPr>
          <w:lang w:val="en-US"/>
        </w:rPr>
        <w:tab/>
        <w:t>(1)</w:t>
      </w:r>
    </w:p>
    <w:p w:rsidR="00FA3C76" w:rsidRPr="0003557E" w:rsidRDefault="0003557E" w:rsidP="00FA3C76">
      <w:pPr>
        <w:pStyle w:val="Wcicienormalne"/>
        <w:rPr>
          <w:lang w:val="en-US"/>
        </w:rPr>
      </w:pPr>
      <w:r w:rsidRPr="0003557E">
        <w:rPr>
          <w:lang w:val="en-US"/>
        </w:rPr>
        <w:t>Where</w:t>
      </w:r>
      <w:r w:rsidR="00FA3C76" w:rsidRPr="0003557E">
        <w:rPr>
          <w:lang w:val="en-US"/>
        </w:rPr>
        <w:t xml:space="preserve"> MTF</w:t>
      </w:r>
      <w:r w:rsidR="00FA3C76" w:rsidRPr="0003557E">
        <w:rPr>
          <w:vertAlign w:val="subscript"/>
          <w:lang w:val="en-US"/>
        </w:rPr>
        <w:t>IOL</w:t>
      </w:r>
      <w:r w:rsidR="00FA3C76" w:rsidRPr="0003557E">
        <w:rPr>
          <w:lang w:val="en-US"/>
        </w:rPr>
        <w:t xml:space="preserve">(f) </w:t>
      </w:r>
      <w:r w:rsidR="00FA3C76" w:rsidRPr="0003557E">
        <w:rPr>
          <w:rFonts w:hint="eastAsia"/>
          <w:lang w:val="en-US"/>
        </w:rPr>
        <w:t>–</w:t>
      </w:r>
      <w:r w:rsidR="00FA3C76" w:rsidRPr="0003557E">
        <w:rPr>
          <w:lang w:val="en-US"/>
        </w:rPr>
        <w:t xml:space="preserve"> </w:t>
      </w:r>
      <w:r w:rsidR="00263589" w:rsidRPr="0003557E">
        <w:rPr>
          <w:lang w:val="en-US"/>
        </w:rPr>
        <w:t xml:space="preserve">MTF value of </w:t>
      </w:r>
      <w:proofErr w:type="spellStart"/>
      <w:r w:rsidR="00C51936">
        <w:rPr>
          <w:lang w:val="en-US"/>
        </w:rPr>
        <w:t>pseudophakic</w:t>
      </w:r>
      <w:proofErr w:type="spellEnd"/>
      <w:r w:rsidR="00C51936">
        <w:rPr>
          <w:lang w:val="en-US"/>
        </w:rPr>
        <w:t xml:space="preserve"> eye without scatter</w:t>
      </w:r>
      <w:r w:rsidR="00FA3C76" w:rsidRPr="0003557E">
        <w:rPr>
          <w:lang w:val="en-US"/>
        </w:rPr>
        <w:t xml:space="preserve">, </w:t>
      </w:r>
      <w:r w:rsidR="00273307">
        <w:rPr>
          <w:lang w:val="en-US"/>
        </w:rPr>
        <w:t>while</w:t>
      </w:r>
      <w:r w:rsidR="00FA3C76" w:rsidRPr="0003557E">
        <w:rPr>
          <w:lang w:val="en-US"/>
        </w:rPr>
        <w:t xml:space="preserve"> </w:t>
      </w:r>
      <w:proofErr w:type="spellStart"/>
      <w:r w:rsidR="00FA3C76" w:rsidRPr="0003557E">
        <w:rPr>
          <w:lang w:val="en-US"/>
        </w:rPr>
        <w:t>MTF</w:t>
      </w:r>
      <w:r w:rsidR="00FA3C76" w:rsidRPr="0003557E">
        <w:rPr>
          <w:vertAlign w:val="subscript"/>
          <w:lang w:val="en-US"/>
        </w:rPr>
        <w:t>scatter</w:t>
      </w:r>
      <w:proofErr w:type="spellEnd"/>
      <w:r w:rsidR="00FA3C76" w:rsidRPr="0003557E">
        <w:rPr>
          <w:lang w:val="en-US"/>
        </w:rPr>
        <w:t xml:space="preserve">(f) </w:t>
      </w:r>
      <w:r w:rsidR="00FA3C76" w:rsidRPr="0003557E">
        <w:rPr>
          <w:rFonts w:hint="eastAsia"/>
          <w:lang w:val="en-US"/>
        </w:rPr>
        <w:t>–</w:t>
      </w:r>
      <w:r w:rsidR="00FA3C76" w:rsidRPr="0003557E">
        <w:rPr>
          <w:lang w:val="en-US"/>
        </w:rPr>
        <w:t xml:space="preserve"> </w:t>
      </w:r>
      <w:r w:rsidR="00263589" w:rsidRPr="0003557E">
        <w:rPr>
          <w:lang w:val="en-US"/>
        </w:rPr>
        <w:t xml:space="preserve">MTF value of </w:t>
      </w:r>
      <w:proofErr w:type="spellStart"/>
      <w:r w:rsidR="00263589" w:rsidRPr="0003557E">
        <w:rPr>
          <w:lang w:val="en-US"/>
        </w:rPr>
        <w:t>pseudophakic</w:t>
      </w:r>
      <w:proofErr w:type="spellEnd"/>
      <w:r w:rsidR="00263589" w:rsidRPr="0003557E">
        <w:rPr>
          <w:lang w:val="en-US"/>
        </w:rPr>
        <w:t xml:space="preserve"> eye with </w:t>
      </w:r>
      <w:proofErr w:type="spellStart"/>
      <w:r w:rsidR="00263589" w:rsidRPr="0003557E">
        <w:rPr>
          <w:lang w:val="en-US"/>
        </w:rPr>
        <w:t>glistenings</w:t>
      </w:r>
      <w:proofErr w:type="spellEnd"/>
      <w:r w:rsidR="00FA3C76" w:rsidRPr="0003557E">
        <w:rPr>
          <w:lang w:val="en-US"/>
        </w:rPr>
        <w:t>, f</w:t>
      </w:r>
      <w:r>
        <w:rPr>
          <w:lang w:val="en-US"/>
        </w:rPr>
        <w:t xml:space="preserve"> </w:t>
      </w:r>
      <w:r w:rsidR="00FA3C76" w:rsidRPr="0003557E">
        <w:rPr>
          <w:lang w:val="en-US"/>
        </w:rPr>
        <w:t xml:space="preserve">- </w:t>
      </w:r>
      <w:r w:rsidR="00263589" w:rsidRPr="0003557E">
        <w:rPr>
          <w:lang w:val="en-US"/>
        </w:rPr>
        <w:t>reference spatial frequency value</w:t>
      </w:r>
      <w:r w:rsidR="00FA3C76" w:rsidRPr="0003557E">
        <w:rPr>
          <w:lang w:val="en-US"/>
        </w:rPr>
        <w:t>.</w:t>
      </w:r>
    </w:p>
    <w:p w:rsidR="00FA3C76" w:rsidRPr="0003557E" w:rsidRDefault="0003557E" w:rsidP="00FA3C76">
      <w:pPr>
        <w:pStyle w:val="Wcicienormalne"/>
        <w:rPr>
          <w:lang w:val="en-US"/>
        </w:rPr>
      </w:pPr>
      <w:r w:rsidRPr="0003557E">
        <w:rPr>
          <w:lang w:val="en-US"/>
        </w:rPr>
        <w:t>Parameter MTF50 limits the analysis to o</w:t>
      </w:r>
      <w:r>
        <w:rPr>
          <w:lang w:val="en-US"/>
        </w:rPr>
        <w:t>nl</w:t>
      </w:r>
      <w:r w:rsidRPr="0003557E">
        <w:rPr>
          <w:lang w:val="en-US"/>
        </w:rPr>
        <w:t xml:space="preserve">y one material, whilst </w:t>
      </w:r>
      <w:proofErr w:type="spellStart"/>
      <w:r w:rsidRPr="0003557E">
        <w:rPr>
          <w:lang w:val="en-US"/>
        </w:rPr>
        <w:t>MTFDrop</w:t>
      </w:r>
      <w:proofErr w:type="spellEnd"/>
      <w:r w:rsidRPr="0003557E">
        <w:rPr>
          <w:lang w:val="en-US"/>
        </w:rPr>
        <w:t xml:space="preserve"> allows to objectively compare the impact of refractive index on scattering.</w:t>
      </w:r>
      <w:r w:rsidR="00FA3C76" w:rsidRPr="0003557E">
        <w:rPr>
          <w:lang w:val="en-US"/>
        </w:rPr>
        <w:t xml:space="preserve"> </w:t>
      </w:r>
    </w:p>
    <w:p w:rsidR="00FA3C76" w:rsidRPr="0003557E" w:rsidRDefault="00FA3C76" w:rsidP="005C504F">
      <w:pPr>
        <w:pStyle w:val="Wcicienormalne"/>
        <w:rPr>
          <w:lang w:val="en-US"/>
        </w:rPr>
      </w:pPr>
    </w:p>
    <w:p w:rsidR="00146CAD" w:rsidRPr="0030143E" w:rsidRDefault="008A325C" w:rsidP="001C2631">
      <w:pPr>
        <w:pStyle w:val="Text"/>
        <w:rPr>
          <w:color w:val="FF0000"/>
        </w:rPr>
      </w:pPr>
      <w:r w:rsidRPr="00B272F8">
        <w:rPr>
          <w:b/>
        </w:rPr>
        <w:t xml:space="preserve">RESULTS </w:t>
      </w:r>
      <w:proofErr w:type="spellStart"/>
      <w:r w:rsidR="00B272F8" w:rsidRPr="00B272F8">
        <w:t>MTFDrop</w:t>
      </w:r>
      <w:proofErr w:type="spellEnd"/>
      <w:r w:rsidR="00B272F8" w:rsidRPr="00B272F8">
        <w:t xml:space="preserve"> was calculated for three </w:t>
      </w:r>
      <w:proofErr w:type="spellStart"/>
      <w:r w:rsidR="00B272F8" w:rsidRPr="00B272F8">
        <w:t>diffrernt</w:t>
      </w:r>
      <w:proofErr w:type="spellEnd"/>
      <w:r w:rsidR="00B272F8" w:rsidRPr="00B272F8">
        <w:t xml:space="preserve"> pupil diameters: 3mm, 4.5mm, 6mm.</w:t>
      </w:r>
      <w:r w:rsidR="00146CAD" w:rsidRPr="00B272F8">
        <w:t xml:space="preserve"> </w:t>
      </w:r>
    </w:p>
    <w:p w:rsidR="00146CAD" w:rsidRPr="008A7FE8" w:rsidRDefault="00146CAD" w:rsidP="001C2631">
      <w:pPr>
        <w:pStyle w:val="Text"/>
      </w:pPr>
      <w:r w:rsidRPr="008A7FE8">
        <w:t xml:space="preserve"> </w:t>
      </w:r>
      <w:r w:rsidR="008A7FE8" w:rsidRPr="008A7FE8">
        <w:t xml:space="preserve">The biggest </w:t>
      </w:r>
      <w:proofErr w:type="spellStart"/>
      <w:r w:rsidR="008A7FE8" w:rsidRPr="008A7FE8">
        <w:t>MTFDrop</w:t>
      </w:r>
      <w:proofErr w:type="spellEnd"/>
      <w:r w:rsidR="008A7FE8" w:rsidRPr="008A7FE8">
        <w:t xml:space="preserve">, irrespective of </w:t>
      </w:r>
      <w:r w:rsidR="008A7FE8">
        <w:t xml:space="preserve">the </w:t>
      </w:r>
      <w:r w:rsidR="008A7FE8" w:rsidRPr="008A7FE8">
        <w:t xml:space="preserve">lens material, was observed for the </w:t>
      </w:r>
      <w:proofErr w:type="spellStart"/>
      <w:r w:rsidR="008A7FE8">
        <w:t>norrowest</w:t>
      </w:r>
      <w:proofErr w:type="spellEnd"/>
      <w:r w:rsidR="008A7FE8" w:rsidRPr="008A7FE8">
        <w:t xml:space="preserve"> eye pupil. </w:t>
      </w:r>
    </w:p>
    <w:p w:rsidR="001C2631" w:rsidRPr="00132B9F" w:rsidRDefault="00AA79C0" w:rsidP="00132B9F">
      <w:pPr>
        <w:pStyle w:val="Text"/>
        <w:rPr>
          <w:color w:val="FF0000"/>
        </w:rPr>
      </w:pPr>
      <w:r w:rsidRPr="0052360C">
        <w:t xml:space="preserve">Models with pupils 4.5 and 6 mm gives similar results. </w:t>
      </w:r>
      <w:r w:rsidR="00C11D43" w:rsidRPr="00507ABD">
        <w:t>There is no significant dif</w:t>
      </w:r>
      <w:r w:rsidR="00507ABD" w:rsidRPr="00507ABD">
        <w:t>ference</w:t>
      </w:r>
      <w:r w:rsidR="0030143E">
        <w:t xml:space="preserve"> (p&gt;0,05)</w:t>
      </w:r>
      <w:r w:rsidR="00507ABD" w:rsidRPr="00507ABD">
        <w:t xml:space="preserve">, which could result in clear dependency between pupil diameter and </w:t>
      </w:r>
      <w:proofErr w:type="spellStart"/>
      <w:r w:rsidR="00507ABD" w:rsidRPr="00507ABD">
        <w:t>MTFDrop</w:t>
      </w:r>
      <w:proofErr w:type="spellEnd"/>
      <w:r w:rsidR="00507ABD" w:rsidRPr="00507ABD">
        <w:t>.</w:t>
      </w:r>
      <w:r w:rsidR="00C11D43" w:rsidRPr="00507ABD">
        <w:rPr>
          <w:color w:val="FF0000"/>
        </w:rPr>
        <w:t xml:space="preserve"> </w:t>
      </w:r>
      <w:r w:rsidR="00132B9F">
        <w:rPr>
          <w:color w:val="FF0000"/>
        </w:rPr>
        <w:t xml:space="preserve"> </w:t>
      </w:r>
      <w:r w:rsidR="00740C7A" w:rsidRPr="00740C7A">
        <w:t xml:space="preserve">The </w:t>
      </w:r>
      <w:r w:rsidR="0084378F">
        <w:t>biggest</w:t>
      </w:r>
      <w:r w:rsidR="00740C7A" w:rsidRPr="00740C7A">
        <w:t xml:space="preserve"> </w:t>
      </w:r>
      <w:r w:rsidR="00EC0766">
        <w:t>de</w:t>
      </w:r>
      <w:r w:rsidR="00740C7A">
        <w:t xml:space="preserve">crease </w:t>
      </w:r>
      <w:r w:rsidR="00EC0766">
        <w:t xml:space="preserve">in optical image quality </w:t>
      </w:r>
      <w:r w:rsidR="00740C7A">
        <w:t>for</w:t>
      </w:r>
      <w:r w:rsidR="00740C7A" w:rsidRPr="00740C7A">
        <w:t xml:space="preserve"> lens</w:t>
      </w:r>
      <w:r w:rsidR="002663AE">
        <w:t xml:space="preserve">es </w:t>
      </w:r>
      <w:r w:rsidR="001C2631" w:rsidRPr="00740C7A">
        <w:t>AR40N</w:t>
      </w:r>
      <w:r w:rsidR="002663AE">
        <w:t xml:space="preserve"> (acrylic)</w:t>
      </w:r>
      <w:r w:rsidR="00740C7A" w:rsidRPr="00740C7A">
        <w:t>,</w:t>
      </w:r>
      <w:r w:rsidR="001C2631" w:rsidRPr="00740C7A">
        <w:t xml:space="preserve"> P359UV (PMMA) </w:t>
      </w:r>
      <w:r w:rsidR="00740C7A">
        <w:t>and</w:t>
      </w:r>
      <w:r w:rsidR="001C2631" w:rsidRPr="00740C7A">
        <w:t xml:space="preserve"> MA60BM (a</w:t>
      </w:r>
      <w:r w:rsidR="00740C7A">
        <w:t>crylic</w:t>
      </w:r>
      <w:r w:rsidR="001C2631" w:rsidRPr="00740C7A">
        <w:t xml:space="preserve">), </w:t>
      </w:r>
      <w:r w:rsidR="007313B4" w:rsidRPr="00740C7A">
        <w:t xml:space="preserve">was observed in </w:t>
      </w:r>
      <w:proofErr w:type="spellStart"/>
      <w:r w:rsidR="007313B4" w:rsidRPr="00740C7A">
        <w:t>photopic</w:t>
      </w:r>
      <w:proofErr w:type="spellEnd"/>
      <w:r w:rsidR="007313B4" w:rsidRPr="00740C7A">
        <w:t xml:space="preserve"> conditions </w:t>
      </w:r>
      <w:r w:rsidR="001C2631" w:rsidRPr="00740C7A">
        <w:t>(</w:t>
      </w:r>
      <w:r w:rsidR="007313B4" w:rsidRPr="00740C7A">
        <w:t xml:space="preserve">pupil diameter 3 mm) for vacuoles of 20 </w:t>
      </w:r>
      <w:r w:rsidR="007313B4" w:rsidRPr="00740C7A">
        <w:rPr>
          <w:rFonts w:hint="eastAsia"/>
        </w:rPr>
        <w:t>µ</w:t>
      </w:r>
      <w:r w:rsidR="007313B4" w:rsidRPr="00740C7A">
        <w:t>m</w:t>
      </w:r>
      <w:r w:rsidR="001C2631" w:rsidRPr="00740C7A">
        <w:t xml:space="preserve"> </w:t>
      </w:r>
      <w:r w:rsidR="007313B4" w:rsidRPr="00740C7A">
        <w:t>diameter and grade</w:t>
      </w:r>
      <w:r w:rsidR="001C2631" w:rsidRPr="00740C7A">
        <w:t xml:space="preserve"> III </w:t>
      </w:r>
      <w:r w:rsidR="007313B4" w:rsidRPr="00740C7A">
        <w:t>in Miyata scale</w:t>
      </w:r>
      <w:r w:rsidR="001C2631" w:rsidRPr="00740C7A">
        <w:t xml:space="preserve">. </w:t>
      </w:r>
    </w:p>
    <w:p w:rsidR="0077676F" w:rsidRPr="009D26E6" w:rsidRDefault="003C60B3" w:rsidP="001C2631">
      <w:pPr>
        <w:pStyle w:val="Text"/>
        <w:ind w:firstLine="0"/>
        <w:rPr>
          <w:lang w:val="pl-PL"/>
        </w:rPr>
      </w:pPr>
      <w:r>
        <w:t xml:space="preserve">In </w:t>
      </w:r>
      <w:proofErr w:type="spellStart"/>
      <w:r>
        <w:t>scotopic</w:t>
      </w:r>
      <w:proofErr w:type="spellEnd"/>
      <w:r>
        <w:t xml:space="preserve">, </w:t>
      </w:r>
      <w:proofErr w:type="spellStart"/>
      <w:r>
        <w:t>mesop</w:t>
      </w:r>
      <w:r w:rsidRPr="003C60B3">
        <w:t>ic</w:t>
      </w:r>
      <w:proofErr w:type="spellEnd"/>
      <w:r w:rsidRPr="003C60B3">
        <w:t xml:space="preserve"> and </w:t>
      </w:r>
      <w:proofErr w:type="spellStart"/>
      <w:r w:rsidRPr="003C60B3">
        <w:t>ph</w:t>
      </w:r>
      <w:r>
        <w:t>o</w:t>
      </w:r>
      <w:r w:rsidRPr="003C60B3">
        <w:t>topic</w:t>
      </w:r>
      <w:proofErr w:type="spellEnd"/>
      <w:r w:rsidRPr="003C60B3">
        <w:t xml:space="preserve"> conditions (</w:t>
      </w:r>
      <w:r w:rsidR="00564FEA">
        <w:t xml:space="preserve">respectively </w:t>
      </w:r>
      <w:r w:rsidRPr="003C60B3">
        <w:t xml:space="preserve">6, 4.5 and 3 mm) </w:t>
      </w:r>
      <w:proofErr w:type="spellStart"/>
      <w:r w:rsidRPr="003C60B3">
        <w:t>MTFDrop</w:t>
      </w:r>
      <w:proofErr w:type="spellEnd"/>
      <w:r w:rsidRPr="003C60B3">
        <w:t xml:space="preserve"> reached its highest value for P359UV lens </w:t>
      </w:r>
      <w:r w:rsidR="001C2631" w:rsidRPr="003C60B3">
        <w:t>(</w:t>
      </w:r>
      <w:r>
        <w:t xml:space="preserve">vacuole diameter </w:t>
      </w:r>
      <w:r w:rsidR="001C2631" w:rsidRPr="001C2631">
        <w:rPr>
          <w:rFonts w:hint="eastAsia"/>
          <w:lang w:val="en-GB"/>
        </w:rPr>
        <w:t>φ</w:t>
      </w:r>
      <w:r w:rsidR="001C2631" w:rsidRPr="003C60B3">
        <w:t xml:space="preserve">w=20 </w:t>
      </w:r>
      <w:r w:rsidR="001C2631" w:rsidRPr="003C60B3">
        <w:rPr>
          <w:rFonts w:hint="eastAsia"/>
        </w:rPr>
        <w:t>µ</w:t>
      </w:r>
      <w:r w:rsidR="001C2631" w:rsidRPr="003C60B3">
        <w:t xml:space="preserve">m, </w:t>
      </w:r>
      <w:proofErr w:type="spellStart"/>
      <w:r>
        <w:t>glistenings</w:t>
      </w:r>
      <w:proofErr w:type="spellEnd"/>
      <w:r>
        <w:t xml:space="preserve"> of grade </w:t>
      </w:r>
      <w:r w:rsidR="007313B4">
        <w:t xml:space="preserve">III </w:t>
      </w:r>
      <w:r>
        <w:t>in Miyata scale</w:t>
      </w:r>
      <w:r w:rsidR="001C2631" w:rsidRPr="003C60B3">
        <w:t xml:space="preserve">). </w:t>
      </w:r>
      <w:proofErr w:type="spellStart"/>
      <w:r w:rsidRPr="009D26E6">
        <w:rPr>
          <w:lang w:val="pl-PL"/>
        </w:rPr>
        <w:t>Acrylic</w:t>
      </w:r>
      <w:proofErr w:type="spellEnd"/>
      <w:r w:rsidRPr="009D26E6">
        <w:rPr>
          <w:lang w:val="pl-PL"/>
        </w:rPr>
        <w:t xml:space="preserve"> </w:t>
      </w:r>
      <w:proofErr w:type="spellStart"/>
      <w:r w:rsidRPr="009D26E6">
        <w:rPr>
          <w:lang w:val="pl-PL"/>
        </w:rPr>
        <w:t>lens</w:t>
      </w:r>
      <w:proofErr w:type="spellEnd"/>
      <w:r w:rsidRPr="009D26E6">
        <w:rPr>
          <w:lang w:val="pl-PL"/>
        </w:rPr>
        <w:t xml:space="preserve"> MA60BM </w:t>
      </w:r>
      <w:proofErr w:type="spellStart"/>
      <w:r w:rsidRPr="009D26E6">
        <w:rPr>
          <w:lang w:val="pl-PL"/>
        </w:rPr>
        <w:t>gave</w:t>
      </w:r>
      <w:proofErr w:type="spellEnd"/>
      <w:r w:rsidRPr="009D26E6">
        <w:rPr>
          <w:lang w:val="pl-PL"/>
        </w:rPr>
        <w:t xml:space="preserve"> </w:t>
      </w:r>
      <w:proofErr w:type="spellStart"/>
      <w:r w:rsidRPr="009D26E6">
        <w:rPr>
          <w:lang w:val="pl-PL"/>
        </w:rPr>
        <w:t>the</w:t>
      </w:r>
      <w:proofErr w:type="spellEnd"/>
      <w:r w:rsidRPr="009D26E6">
        <w:rPr>
          <w:lang w:val="pl-PL"/>
        </w:rPr>
        <w:t xml:space="preserve"> </w:t>
      </w:r>
      <w:proofErr w:type="spellStart"/>
      <w:r w:rsidRPr="009D26E6">
        <w:rPr>
          <w:lang w:val="pl-PL"/>
        </w:rPr>
        <w:t>best</w:t>
      </w:r>
      <w:proofErr w:type="spellEnd"/>
      <w:r w:rsidRPr="009D26E6">
        <w:rPr>
          <w:lang w:val="pl-PL"/>
        </w:rPr>
        <w:t xml:space="preserve"> </w:t>
      </w:r>
      <w:proofErr w:type="spellStart"/>
      <w:r w:rsidRPr="009D26E6">
        <w:rPr>
          <w:lang w:val="pl-PL"/>
        </w:rPr>
        <w:t>optical</w:t>
      </w:r>
      <w:proofErr w:type="spellEnd"/>
      <w:r w:rsidRPr="009D26E6">
        <w:rPr>
          <w:lang w:val="pl-PL"/>
        </w:rPr>
        <w:t xml:space="preserve"> </w:t>
      </w:r>
      <w:proofErr w:type="spellStart"/>
      <w:r w:rsidRPr="009D26E6">
        <w:rPr>
          <w:lang w:val="pl-PL"/>
        </w:rPr>
        <w:t>image</w:t>
      </w:r>
      <w:proofErr w:type="spellEnd"/>
      <w:r w:rsidRPr="009D26E6">
        <w:rPr>
          <w:lang w:val="pl-PL"/>
        </w:rPr>
        <w:t xml:space="preserve"> </w:t>
      </w:r>
      <w:proofErr w:type="spellStart"/>
      <w:r w:rsidRPr="009D26E6">
        <w:rPr>
          <w:lang w:val="pl-PL"/>
        </w:rPr>
        <w:t>quality</w:t>
      </w:r>
      <w:proofErr w:type="spellEnd"/>
      <w:r w:rsidR="001C2631" w:rsidRPr="009D26E6">
        <w:rPr>
          <w:lang w:val="pl-PL"/>
        </w:rPr>
        <w:t xml:space="preserve">. </w:t>
      </w:r>
    </w:p>
    <w:p w:rsidR="0030143E" w:rsidRPr="00DE2876" w:rsidRDefault="00DE2876" w:rsidP="001C2631">
      <w:pPr>
        <w:pStyle w:val="Text"/>
        <w:ind w:firstLine="0"/>
      </w:pPr>
      <w:r w:rsidRPr="00DE2876">
        <w:t xml:space="preserve">The following graphs show the dependence of the parameter change </w:t>
      </w:r>
      <w:proofErr w:type="spellStart"/>
      <w:r w:rsidRPr="00DE2876">
        <w:t>MTFDrop</w:t>
      </w:r>
      <w:proofErr w:type="spellEnd"/>
      <w:r w:rsidRPr="00DE2876">
        <w:t xml:space="preserve"> as a function of the diameter of a single </w:t>
      </w:r>
      <w:proofErr w:type="spellStart"/>
      <w:r w:rsidRPr="00DE2876">
        <w:t>mikrowakuoli</w:t>
      </w:r>
      <w:proofErr w:type="spellEnd"/>
      <w:r w:rsidRPr="00DE2876">
        <w:t xml:space="preserve"> for three degrees of density (I, II, III) in </w:t>
      </w:r>
      <w:proofErr w:type="spellStart"/>
      <w:r w:rsidRPr="00DE2876">
        <w:t>photopic</w:t>
      </w:r>
      <w:proofErr w:type="spellEnd"/>
      <w:r w:rsidRPr="00DE2876">
        <w:t xml:space="preserve"> conditions for entrance pupil diameter of 3mm. Lowering the quality of </w:t>
      </w:r>
      <w:r w:rsidR="004468E1">
        <w:t xml:space="preserve">retinal </w:t>
      </w:r>
      <w:r w:rsidRPr="00DE2876">
        <w:t xml:space="preserve">imaging </w:t>
      </w:r>
      <w:r w:rsidR="004468E1">
        <w:rPr>
          <w:rFonts w:hint="eastAsia"/>
        </w:rPr>
        <w:t>determine</w:t>
      </w:r>
      <w:r w:rsidR="004468E1">
        <w:t>d</w:t>
      </w:r>
      <w:r w:rsidRPr="00DE2876">
        <w:t xml:space="preserve"> by </w:t>
      </w:r>
      <w:proofErr w:type="spellStart"/>
      <w:r w:rsidRPr="00DE2876">
        <w:t>MTFDrop</w:t>
      </w:r>
      <w:proofErr w:type="spellEnd"/>
      <w:r w:rsidRPr="00DE2876">
        <w:t xml:space="preserve"> is greater the larger the diameter and density </w:t>
      </w:r>
      <w:proofErr w:type="spellStart"/>
      <w:r w:rsidR="004468E1">
        <w:t>microvacuoles</w:t>
      </w:r>
      <w:proofErr w:type="spellEnd"/>
      <w:r w:rsidRPr="00DE2876">
        <w:t>. It can be noted that the degree of deter</w:t>
      </w:r>
      <w:r w:rsidR="004468E1">
        <w:t xml:space="preserve">ioration in the image quality </w:t>
      </w:r>
      <w:r w:rsidRPr="00DE2876">
        <w:t xml:space="preserve">with the same parameters </w:t>
      </w:r>
      <w:proofErr w:type="spellStart"/>
      <w:r w:rsidR="004468E1">
        <w:t>micreovacuoles</w:t>
      </w:r>
      <w:proofErr w:type="spellEnd"/>
      <w:r w:rsidRPr="00DE2876">
        <w:t xml:space="preserve"> is different for different models of lenses.</w:t>
      </w:r>
    </w:p>
    <w:p w:rsidR="00DE2876" w:rsidRPr="00DE2876" w:rsidRDefault="00DE2876" w:rsidP="001C2631">
      <w:pPr>
        <w:pStyle w:val="Text"/>
        <w:ind w:firstLine="0"/>
        <w:rPr>
          <w:rFonts w:ascii="Times New Roman" w:hAnsi="Times New Roman"/>
        </w:rPr>
      </w:pPr>
    </w:p>
    <w:p w:rsidR="00E224A2" w:rsidRDefault="00E224A2" w:rsidP="008A325C">
      <w:pPr>
        <w:pStyle w:val="Text"/>
        <w:ind w:firstLine="0"/>
        <w:rPr>
          <w:rFonts w:ascii="Times New Roman" w:hAnsi="Times New Roman"/>
          <w:noProof/>
          <w:lang w:val="pl-PL" w:eastAsia="pl-PL"/>
        </w:rPr>
      </w:pPr>
    </w:p>
    <w:p w:rsidR="00E415E1" w:rsidRDefault="00E415E1" w:rsidP="004468E1">
      <w:pPr>
        <w:pStyle w:val="Figdescription"/>
        <w:rPr>
          <w:i w:val="0"/>
          <w:sz w:val="16"/>
          <w:szCs w:val="16"/>
          <w:lang w:val="pl-PL"/>
        </w:rPr>
      </w:pPr>
      <w:r w:rsidRPr="00E415E1">
        <w:rPr>
          <w:i w:val="0"/>
          <w:sz w:val="16"/>
          <w:szCs w:val="16"/>
          <w:lang w:val="pl-PL"/>
        </w:rPr>
        <w:lastRenderedPageBreak/>
        <w:drawing>
          <wp:inline distT="0" distB="0" distL="0" distR="0">
            <wp:extent cx="2968625" cy="1781175"/>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49FE" w:rsidRDefault="001749FE" w:rsidP="004468E1">
      <w:pPr>
        <w:pStyle w:val="Figdescription"/>
        <w:rPr>
          <w:noProof/>
          <w:lang w:val="pl-PL"/>
        </w:rPr>
      </w:pPr>
      <w:r w:rsidRPr="00CB66FB">
        <w:rPr>
          <w:i w:val="0"/>
          <w:sz w:val="16"/>
          <w:szCs w:val="16"/>
          <w:lang w:val="pl-PL"/>
        </w:rPr>
        <w:t xml:space="preserve">Fig. 1. </w:t>
      </w:r>
      <w:r w:rsidR="004468E1" w:rsidRPr="00E415E1">
        <w:rPr>
          <w:i w:val="0"/>
          <w:sz w:val="16"/>
          <w:szCs w:val="16"/>
          <w:lang w:val="en-US"/>
        </w:rPr>
        <w:t xml:space="preserve">Decrease in the quality imaging of the retinal determined by </w:t>
      </w:r>
      <w:proofErr w:type="spellStart"/>
      <w:r w:rsidR="004468E1" w:rsidRPr="00E415E1">
        <w:rPr>
          <w:i w:val="0"/>
          <w:sz w:val="16"/>
          <w:szCs w:val="16"/>
          <w:lang w:val="en-US"/>
        </w:rPr>
        <w:t>MTFDrop</w:t>
      </w:r>
      <w:proofErr w:type="spellEnd"/>
      <w:r w:rsidR="004468E1" w:rsidRPr="00E415E1">
        <w:rPr>
          <w:i w:val="0"/>
          <w:sz w:val="16"/>
          <w:szCs w:val="16"/>
          <w:lang w:val="en-US"/>
        </w:rPr>
        <w:t xml:space="preserve"> a result of the creation </w:t>
      </w:r>
      <w:proofErr w:type="spellStart"/>
      <w:r w:rsidR="004468E1" w:rsidRPr="00E415E1">
        <w:rPr>
          <w:i w:val="0"/>
          <w:sz w:val="16"/>
          <w:szCs w:val="16"/>
          <w:lang w:val="en-US"/>
        </w:rPr>
        <w:t>miocrovacuoles</w:t>
      </w:r>
      <w:proofErr w:type="spellEnd"/>
      <w:r w:rsidR="004468E1" w:rsidRPr="00E415E1">
        <w:rPr>
          <w:i w:val="0"/>
          <w:sz w:val="16"/>
          <w:szCs w:val="16"/>
          <w:lang w:val="en-US"/>
        </w:rPr>
        <w:t xml:space="preserve"> inside the lens A</w:t>
      </w:r>
      <w:r w:rsidR="00E415E1">
        <w:rPr>
          <w:i w:val="0"/>
          <w:sz w:val="16"/>
          <w:szCs w:val="16"/>
          <w:lang w:val="en-US"/>
        </w:rPr>
        <w:t xml:space="preserve">R40N depending on the diameter </w:t>
      </w:r>
      <w:proofErr w:type="spellStart"/>
      <w:r w:rsidR="004468E1" w:rsidRPr="00E415E1">
        <w:rPr>
          <w:i w:val="0"/>
          <w:sz w:val="16"/>
          <w:szCs w:val="16"/>
          <w:lang w:val="en-US"/>
        </w:rPr>
        <w:t>microvacuoles</w:t>
      </w:r>
      <w:proofErr w:type="spellEnd"/>
      <w:r w:rsidR="004468E1" w:rsidRPr="00E415E1">
        <w:rPr>
          <w:i w:val="0"/>
          <w:sz w:val="16"/>
          <w:szCs w:val="16"/>
          <w:lang w:val="en-US"/>
        </w:rPr>
        <w:t xml:space="preserve"> </w:t>
      </w:r>
      <w:r w:rsidR="00E415E1">
        <w:rPr>
          <w:rFonts w:ascii="Arial Unicode MS" w:eastAsia="Arial Unicode MS" w:hAnsi="Arial Unicode MS" w:cs="Arial Unicode MS" w:hint="eastAsia"/>
          <w:i w:val="0"/>
          <w:sz w:val="16"/>
          <w:szCs w:val="16"/>
          <w:lang w:val="pl-PL"/>
        </w:rPr>
        <w:t>Φ</w:t>
      </w:r>
      <w:r w:rsidR="004468E1" w:rsidRPr="00E415E1">
        <w:rPr>
          <w:i w:val="0"/>
          <w:sz w:val="16"/>
          <w:szCs w:val="16"/>
          <w:vertAlign w:val="subscript"/>
          <w:lang w:val="en-US"/>
        </w:rPr>
        <w:t>w</w:t>
      </w:r>
      <w:r w:rsidR="004468E1" w:rsidRPr="00E415E1">
        <w:rPr>
          <w:i w:val="0"/>
          <w:sz w:val="16"/>
          <w:szCs w:val="16"/>
          <w:lang w:val="en-US"/>
        </w:rPr>
        <w:t xml:space="preserve"> and the degree of density (I, II, III)</w:t>
      </w:r>
    </w:p>
    <w:p w:rsidR="00E415E1" w:rsidRPr="00E415E1" w:rsidRDefault="00E415E1" w:rsidP="004468E1">
      <w:pPr>
        <w:pStyle w:val="Figdescription"/>
        <w:rPr>
          <w:lang w:val="en-US"/>
        </w:rPr>
      </w:pPr>
      <w:r w:rsidRPr="00E415E1">
        <w:rPr>
          <w:lang w:val="en-US"/>
        </w:rPr>
        <w:drawing>
          <wp:inline distT="0" distB="0" distL="0" distR="0">
            <wp:extent cx="2968625" cy="1781175"/>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2631" w:rsidRPr="00F4515B" w:rsidRDefault="001C2631" w:rsidP="001C2631">
      <w:pPr>
        <w:pStyle w:val="Figdescription"/>
        <w:rPr>
          <w:i w:val="0"/>
          <w:sz w:val="16"/>
          <w:szCs w:val="16"/>
        </w:rPr>
      </w:pPr>
      <w:r w:rsidRPr="00F4515B">
        <w:rPr>
          <w:i w:val="0"/>
          <w:sz w:val="16"/>
          <w:szCs w:val="16"/>
        </w:rPr>
        <w:t>Fig</w:t>
      </w:r>
      <w:r>
        <w:rPr>
          <w:i w:val="0"/>
          <w:sz w:val="16"/>
          <w:szCs w:val="16"/>
        </w:rPr>
        <w:t>.</w:t>
      </w:r>
      <w:r w:rsidR="00E415E1">
        <w:rPr>
          <w:i w:val="0"/>
          <w:sz w:val="16"/>
          <w:szCs w:val="16"/>
        </w:rPr>
        <w:t xml:space="preserve"> 2</w:t>
      </w:r>
      <w:r w:rsidRPr="00F4515B">
        <w:rPr>
          <w:i w:val="0"/>
          <w:sz w:val="16"/>
          <w:szCs w:val="16"/>
        </w:rPr>
        <w:t xml:space="preserve">. </w:t>
      </w:r>
      <w:r w:rsidR="00E415E1" w:rsidRPr="00E415E1">
        <w:rPr>
          <w:i w:val="0"/>
          <w:sz w:val="16"/>
          <w:szCs w:val="16"/>
          <w:lang w:val="en-US"/>
        </w:rPr>
        <w:t xml:space="preserve">Decrease in the quality imaging of the retinal determined by </w:t>
      </w:r>
      <w:proofErr w:type="spellStart"/>
      <w:r w:rsidR="00E415E1" w:rsidRPr="00E415E1">
        <w:rPr>
          <w:i w:val="0"/>
          <w:sz w:val="16"/>
          <w:szCs w:val="16"/>
          <w:lang w:val="en-US"/>
        </w:rPr>
        <w:t>MTFDrop</w:t>
      </w:r>
      <w:proofErr w:type="spellEnd"/>
      <w:r w:rsidR="00E415E1" w:rsidRPr="00E415E1">
        <w:rPr>
          <w:i w:val="0"/>
          <w:sz w:val="16"/>
          <w:szCs w:val="16"/>
          <w:lang w:val="en-US"/>
        </w:rPr>
        <w:t xml:space="preserve"> a result of the creation </w:t>
      </w:r>
      <w:proofErr w:type="spellStart"/>
      <w:r w:rsidR="00E415E1" w:rsidRPr="00E415E1">
        <w:rPr>
          <w:i w:val="0"/>
          <w:sz w:val="16"/>
          <w:szCs w:val="16"/>
          <w:lang w:val="en-US"/>
        </w:rPr>
        <w:t>miocrovacuoles</w:t>
      </w:r>
      <w:proofErr w:type="spellEnd"/>
      <w:r w:rsidR="00E415E1" w:rsidRPr="00E415E1">
        <w:rPr>
          <w:i w:val="0"/>
          <w:sz w:val="16"/>
          <w:szCs w:val="16"/>
          <w:lang w:val="en-US"/>
        </w:rPr>
        <w:t xml:space="preserve"> inside the lens </w:t>
      </w:r>
      <w:r w:rsidR="00E415E1">
        <w:rPr>
          <w:i w:val="0"/>
          <w:sz w:val="16"/>
          <w:szCs w:val="16"/>
          <w:lang w:val="en-US"/>
        </w:rPr>
        <w:t xml:space="preserve">MA60BM depending on the diameter </w:t>
      </w:r>
      <w:proofErr w:type="spellStart"/>
      <w:r w:rsidR="00E415E1" w:rsidRPr="00E415E1">
        <w:rPr>
          <w:i w:val="0"/>
          <w:sz w:val="16"/>
          <w:szCs w:val="16"/>
          <w:lang w:val="en-US"/>
        </w:rPr>
        <w:t>microvacuoles</w:t>
      </w:r>
      <w:proofErr w:type="spellEnd"/>
      <w:r w:rsidR="00E415E1" w:rsidRPr="00E415E1">
        <w:rPr>
          <w:i w:val="0"/>
          <w:sz w:val="16"/>
          <w:szCs w:val="16"/>
          <w:lang w:val="en-US"/>
        </w:rPr>
        <w:t xml:space="preserve"> </w:t>
      </w:r>
      <w:r w:rsidR="00E415E1">
        <w:rPr>
          <w:rFonts w:ascii="Arial Unicode MS" w:eastAsia="Arial Unicode MS" w:hAnsi="Arial Unicode MS" w:cs="Arial Unicode MS" w:hint="eastAsia"/>
          <w:i w:val="0"/>
          <w:sz w:val="16"/>
          <w:szCs w:val="16"/>
          <w:lang w:val="pl-PL"/>
        </w:rPr>
        <w:t>Φ</w:t>
      </w:r>
      <w:r w:rsidR="00E415E1" w:rsidRPr="00E415E1">
        <w:rPr>
          <w:i w:val="0"/>
          <w:sz w:val="16"/>
          <w:szCs w:val="16"/>
          <w:vertAlign w:val="subscript"/>
          <w:lang w:val="en-US"/>
        </w:rPr>
        <w:t>w</w:t>
      </w:r>
      <w:r w:rsidR="00E415E1" w:rsidRPr="00E415E1">
        <w:rPr>
          <w:i w:val="0"/>
          <w:sz w:val="16"/>
          <w:szCs w:val="16"/>
          <w:lang w:val="en-US"/>
        </w:rPr>
        <w:t xml:space="preserve"> and the degree of density (I, II, III)</w:t>
      </w:r>
    </w:p>
    <w:p w:rsidR="001749FE" w:rsidRDefault="00E415E1" w:rsidP="00EB41A0">
      <w:pPr>
        <w:jc w:val="center"/>
      </w:pPr>
      <w:r w:rsidRPr="00E415E1">
        <w:drawing>
          <wp:inline distT="0" distB="0" distL="0" distR="0">
            <wp:extent cx="2968625" cy="1781175"/>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2631" w:rsidRPr="00E415E1" w:rsidRDefault="001C2631" w:rsidP="001C2631">
      <w:pPr>
        <w:pStyle w:val="Figdescription"/>
        <w:rPr>
          <w:i w:val="0"/>
          <w:sz w:val="16"/>
          <w:szCs w:val="16"/>
          <w:lang w:val="en-US"/>
        </w:rPr>
      </w:pPr>
      <w:r w:rsidRPr="009D26E6">
        <w:rPr>
          <w:i w:val="0"/>
          <w:sz w:val="16"/>
          <w:szCs w:val="16"/>
          <w:lang w:val="pl-PL"/>
        </w:rPr>
        <w:t xml:space="preserve">Fig. 1. </w:t>
      </w:r>
      <w:r w:rsidR="00E415E1" w:rsidRPr="00E415E1">
        <w:rPr>
          <w:i w:val="0"/>
          <w:sz w:val="16"/>
          <w:szCs w:val="16"/>
          <w:lang w:val="en-US"/>
        </w:rPr>
        <w:t xml:space="preserve">Decrease in the quality imaging of the retinal determined by </w:t>
      </w:r>
      <w:proofErr w:type="spellStart"/>
      <w:r w:rsidR="00E415E1" w:rsidRPr="00E415E1">
        <w:rPr>
          <w:i w:val="0"/>
          <w:sz w:val="16"/>
          <w:szCs w:val="16"/>
          <w:lang w:val="en-US"/>
        </w:rPr>
        <w:t>MTFDrop</w:t>
      </w:r>
      <w:proofErr w:type="spellEnd"/>
      <w:r w:rsidR="00E415E1" w:rsidRPr="00E415E1">
        <w:rPr>
          <w:i w:val="0"/>
          <w:sz w:val="16"/>
          <w:szCs w:val="16"/>
          <w:lang w:val="en-US"/>
        </w:rPr>
        <w:t xml:space="preserve"> a result of the creation </w:t>
      </w:r>
      <w:proofErr w:type="spellStart"/>
      <w:r w:rsidR="00E415E1" w:rsidRPr="00E415E1">
        <w:rPr>
          <w:i w:val="0"/>
          <w:sz w:val="16"/>
          <w:szCs w:val="16"/>
          <w:lang w:val="en-US"/>
        </w:rPr>
        <w:t>miocrovacuoles</w:t>
      </w:r>
      <w:proofErr w:type="spellEnd"/>
      <w:r w:rsidR="00E415E1" w:rsidRPr="00E415E1">
        <w:rPr>
          <w:i w:val="0"/>
          <w:sz w:val="16"/>
          <w:szCs w:val="16"/>
          <w:lang w:val="en-US"/>
        </w:rPr>
        <w:t xml:space="preserve"> inside the lens </w:t>
      </w:r>
      <w:r w:rsidR="00E415E1">
        <w:rPr>
          <w:i w:val="0"/>
          <w:sz w:val="16"/>
          <w:szCs w:val="16"/>
          <w:lang w:val="en-US"/>
        </w:rPr>
        <w:t xml:space="preserve">P369UV depending on the diameter </w:t>
      </w:r>
      <w:proofErr w:type="spellStart"/>
      <w:r w:rsidR="00E415E1" w:rsidRPr="00E415E1">
        <w:rPr>
          <w:i w:val="0"/>
          <w:sz w:val="16"/>
          <w:szCs w:val="16"/>
          <w:lang w:val="en-US"/>
        </w:rPr>
        <w:t>microvacuoles</w:t>
      </w:r>
      <w:proofErr w:type="spellEnd"/>
      <w:r w:rsidR="00E415E1" w:rsidRPr="00E415E1">
        <w:rPr>
          <w:i w:val="0"/>
          <w:sz w:val="16"/>
          <w:szCs w:val="16"/>
          <w:lang w:val="en-US"/>
        </w:rPr>
        <w:t xml:space="preserve"> </w:t>
      </w:r>
      <w:r w:rsidR="00E415E1">
        <w:rPr>
          <w:rFonts w:ascii="Arial Unicode MS" w:eastAsia="Arial Unicode MS" w:hAnsi="Arial Unicode MS" w:cs="Arial Unicode MS" w:hint="eastAsia"/>
          <w:i w:val="0"/>
          <w:sz w:val="16"/>
          <w:szCs w:val="16"/>
          <w:lang w:val="pl-PL"/>
        </w:rPr>
        <w:t>Φ</w:t>
      </w:r>
      <w:r w:rsidR="00E415E1" w:rsidRPr="00E415E1">
        <w:rPr>
          <w:i w:val="0"/>
          <w:sz w:val="16"/>
          <w:szCs w:val="16"/>
          <w:vertAlign w:val="subscript"/>
          <w:lang w:val="en-US"/>
        </w:rPr>
        <w:t>w</w:t>
      </w:r>
      <w:r w:rsidR="00E415E1" w:rsidRPr="00E415E1">
        <w:rPr>
          <w:i w:val="0"/>
          <w:sz w:val="16"/>
          <w:szCs w:val="16"/>
          <w:lang w:val="en-US"/>
        </w:rPr>
        <w:t xml:space="preserve"> and the degree of density (I, II, III)</w:t>
      </w:r>
    </w:p>
    <w:p w:rsidR="0030143E" w:rsidRPr="001078BD" w:rsidRDefault="00132B9F" w:rsidP="0030143E">
      <w:pPr>
        <w:spacing w:line="240" w:lineRule="exact"/>
        <w:jc w:val="both"/>
        <w:rPr>
          <w:rFonts w:asciiTheme="minorHAnsi" w:hAnsiTheme="minorHAnsi" w:cstheme="minorHAnsi"/>
          <w:color w:val="FF0000"/>
          <w:lang w:val="pl-PL" w:eastAsia="pl-PL"/>
        </w:rPr>
      </w:pPr>
      <w:r w:rsidRPr="001078BD">
        <w:rPr>
          <w:rFonts w:asciiTheme="minorHAnsi" w:hAnsiTheme="minorHAnsi" w:cstheme="minorHAnsi"/>
          <w:color w:val="FF0000"/>
          <w:lang w:val="pl-PL" w:eastAsia="pl-PL"/>
        </w:rPr>
        <w:t xml:space="preserve">. </w:t>
      </w:r>
    </w:p>
    <w:p w:rsidR="001C2631" w:rsidRPr="0077484E" w:rsidRDefault="00146CAD" w:rsidP="0030143E">
      <w:pPr>
        <w:spacing w:line="240" w:lineRule="exact"/>
        <w:jc w:val="both"/>
      </w:pPr>
      <w:r w:rsidRPr="00C51936">
        <w:rPr>
          <w:b/>
        </w:rPr>
        <w:lastRenderedPageBreak/>
        <w:t>DI</w:t>
      </w:r>
      <w:r w:rsidR="001038E1">
        <w:rPr>
          <w:b/>
        </w:rPr>
        <w:t>S</w:t>
      </w:r>
      <w:r w:rsidRPr="00C51936">
        <w:rPr>
          <w:b/>
        </w:rPr>
        <w:t>CUSION</w:t>
      </w:r>
      <w:r w:rsidR="001C2631" w:rsidRPr="00C51936">
        <w:tab/>
      </w:r>
      <w:r w:rsidR="00F96764" w:rsidRPr="00C51936">
        <w:t>P</w:t>
      </w:r>
      <w:r w:rsidR="008B2E3F" w:rsidRPr="00C51936">
        <w:t>reliminary</w:t>
      </w:r>
      <w:r w:rsidR="00F96764" w:rsidRPr="00C51936">
        <w:t xml:space="preserve"> </w:t>
      </w:r>
      <w:r w:rsidR="00C51936" w:rsidRPr="00C51936">
        <w:t>analysis assumed that the lenses, in which the relativ</w:t>
      </w:r>
      <w:r w:rsidR="00C51936">
        <w:t>e difference between the scatt</w:t>
      </w:r>
      <w:r w:rsidR="00C51936" w:rsidRPr="00C51936">
        <w:t>er and the media is more significant</w:t>
      </w:r>
      <w:r w:rsidR="00C51936">
        <w:t>,</w:t>
      </w:r>
      <w:r w:rsidR="00C51936" w:rsidRPr="00C51936">
        <w:t xml:space="preserve"> should </w:t>
      </w:r>
      <w:r w:rsidR="00C51936">
        <w:t xml:space="preserve">show more </w:t>
      </w:r>
      <w:r w:rsidR="00C51936" w:rsidRPr="00C51936">
        <w:t>scattering</w:t>
      </w:r>
      <w:r w:rsidR="00C51936">
        <w:t xml:space="preserve"> effects [].</w:t>
      </w:r>
      <w:r w:rsidR="001C2631" w:rsidRPr="00C51936">
        <w:rPr>
          <w:color w:val="FF0000"/>
        </w:rPr>
        <w:t xml:space="preserve"> </w:t>
      </w:r>
      <w:r w:rsidR="003E21E8" w:rsidRPr="003E21E8">
        <w:t xml:space="preserve">In this case, the </w:t>
      </w:r>
      <w:r w:rsidR="003E21E8">
        <w:t>sequence of lenses, starting fro</w:t>
      </w:r>
      <w:r w:rsidR="003E21E8" w:rsidRPr="003E21E8">
        <w:t xml:space="preserve">m the one which gives the worst image quality, should be: MA60BM, P359UV </w:t>
      </w:r>
      <w:r w:rsidR="003E21E8">
        <w:t>and</w:t>
      </w:r>
      <w:r w:rsidR="003E21E8" w:rsidRPr="003E21E8">
        <w:t xml:space="preserve"> AR40N</w:t>
      </w:r>
      <w:r w:rsidR="001C2631" w:rsidRPr="003E21E8">
        <w:t>.</w:t>
      </w:r>
      <w:r w:rsidR="00B32CA8" w:rsidRPr="003E21E8">
        <w:t xml:space="preserve"> </w:t>
      </w:r>
      <w:r w:rsidR="004C0308" w:rsidRPr="0077484E">
        <w:t xml:space="preserve">However, because of the fact that MA60BM lens has lower thickness (as a result of higher </w:t>
      </w:r>
      <w:r w:rsidR="004C0308" w:rsidRPr="00D5756A">
        <w:t>refractive index),</w:t>
      </w:r>
      <w:r w:rsidR="00D5756A">
        <w:t xml:space="preserve"> it</w:t>
      </w:r>
      <w:r w:rsidR="004C0308" w:rsidRPr="00D5756A">
        <w:t xml:space="preserve"> </w:t>
      </w:r>
      <w:r w:rsidR="00D5756A" w:rsidRPr="00D5756A">
        <w:t>cause</w:t>
      </w:r>
      <w:r w:rsidR="00D5756A">
        <w:t>s</w:t>
      </w:r>
      <w:r w:rsidR="00D5756A" w:rsidRPr="00D5756A">
        <w:t xml:space="preserve"> relatively low damage to the image quality. </w:t>
      </w:r>
      <w:r w:rsidR="00E71984" w:rsidRPr="00D5756A">
        <w:t xml:space="preserve">It might be explained by the </w:t>
      </w:r>
      <w:r w:rsidR="00D5756A" w:rsidRPr="00D5756A">
        <w:t>dependency</w:t>
      </w:r>
      <w:r w:rsidR="00E71984" w:rsidRPr="00D5756A">
        <w:t xml:space="preserve"> between the probability</w:t>
      </w:r>
      <w:r w:rsidR="00E71984" w:rsidRPr="0077484E">
        <w:t xml:space="preserve"> of scattering and the </w:t>
      </w:r>
      <w:r w:rsidR="00D5756A" w:rsidRPr="0077484E">
        <w:t>length</w:t>
      </w:r>
      <w:r w:rsidR="00E71984" w:rsidRPr="0077484E">
        <w:t xml:space="preserve"> of light propagation, which is described by the equation: </w:t>
      </w:r>
    </w:p>
    <w:p w:rsidR="001C2631" w:rsidRPr="0077484E" w:rsidRDefault="001C2631" w:rsidP="001C2631">
      <w:pPr>
        <w:spacing w:line="240" w:lineRule="exact"/>
        <w:ind w:firstLine="142"/>
        <w:jc w:val="both"/>
        <w:rPr>
          <w:color w:val="FF0000"/>
        </w:rPr>
      </w:pPr>
    </w:p>
    <w:p w:rsidR="001C2631" w:rsidRPr="006427EE" w:rsidRDefault="001C2631" w:rsidP="0064141D">
      <w:pPr>
        <w:spacing w:line="240" w:lineRule="exact"/>
        <w:ind w:firstLine="142"/>
        <w:jc w:val="right"/>
      </w:pPr>
      <w:r w:rsidRPr="006427EE">
        <w:t>I(</w:t>
      </w:r>
      <w:r w:rsidRPr="00051813">
        <w:rPr>
          <w:rFonts w:hint="eastAsia"/>
          <w:lang w:val="en-GB"/>
        </w:rPr>
        <w:t>χ</w:t>
      </w:r>
      <w:r w:rsidR="00146CAD" w:rsidRPr="006427EE">
        <w:t>)=e</w:t>
      </w:r>
      <w:r w:rsidRPr="006427EE">
        <w:rPr>
          <w:vertAlign w:val="superscript"/>
        </w:rPr>
        <w:t>-</w:t>
      </w:r>
      <w:r w:rsidRPr="00051813">
        <w:rPr>
          <w:rFonts w:hint="eastAsia"/>
          <w:vertAlign w:val="superscript"/>
          <w:lang w:val="en-GB"/>
        </w:rPr>
        <w:t>αχ</w:t>
      </w:r>
      <w:r w:rsidR="0064141D" w:rsidRPr="006427EE">
        <w:rPr>
          <w:vertAlign w:val="superscript"/>
        </w:rPr>
        <w:t xml:space="preserve">                                          </w:t>
      </w:r>
      <w:r w:rsidR="0064141D" w:rsidRPr="006427EE">
        <w:t xml:space="preserve"> </w:t>
      </w:r>
      <w:r w:rsidRPr="006427EE">
        <w:t xml:space="preserve">        (</w:t>
      </w:r>
      <w:r w:rsidR="00146CAD" w:rsidRPr="006427EE">
        <w:t>1</w:t>
      </w:r>
      <w:r w:rsidRPr="006427EE">
        <w:t>)</w:t>
      </w:r>
    </w:p>
    <w:p w:rsidR="001C2631" w:rsidRPr="006427EE" w:rsidRDefault="001C2631" w:rsidP="001C2631">
      <w:pPr>
        <w:spacing w:line="240" w:lineRule="exact"/>
        <w:ind w:firstLine="142"/>
        <w:jc w:val="both"/>
      </w:pPr>
    </w:p>
    <w:p w:rsidR="001C2631" w:rsidRPr="00E71984" w:rsidRDefault="00490F66" w:rsidP="001C2631">
      <w:pPr>
        <w:spacing w:line="240" w:lineRule="exact"/>
        <w:ind w:firstLine="142"/>
        <w:jc w:val="both"/>
      </w:pPr>
      <w:r w:rsidRPr="00051813">
        <w:t>Where</w:t>
      </w:r>
      <w:r w:rsidR="001C2631" w:rsidRPr="00051813">
        <w:t xml:space="preserve"> </w:t>
      </w:r>
      <w:r w:rsidR="001C2631" w:rsidRPr="00051813">
        <w:rPr>
          <w:rFonts w:hint="eastAsia"/>
          <w:lang w:val="en-GB"/>
        </w:rPr>
        <w:t>α</w:t>
      </w:r>
      <w:r w:rsidR="001C2631" w:rsidRPr="00051813">
        <w:t xml:space="preserve"> </w:t>
      </w:r>
      <w:r w:rsidRPr="00051813">
        <w:t xml:space="preserve">is a </w:t>
      </w:r>
      <w:r w:rsidR="00051813">
        <w:t>coefficient</w:t>
      </w:r>
      <w:r w:rsidRPr="00051813">
        <w:t xml:space="preserve"> in</w:t>
      </w:r>
      <w:r w:rsidR="001C2631" w:rsidRPr="00051813">
        <w:t xml:space="preserve"> mm</w:t>
      </w:r>
      <w:r w:rsidR="001C2631" w:rsidRPr="00051813">
        <w:rPr>
          <w:vertAlign w:val="superscript"/>
        </w:rPr>
        <w:t>-1</w:t>
      </w:r>
      <w:r w:rsidR="001C2631" w:rsidRPr="00051813">
        <w:t xml:space="preserve">, </w:t>
      </w:r>
      <w:r w:rsidRPr="00051813">
        <w:t>whilst</w:t>
      </w:r>
      <w:r w:rsidR="001C2631" w:rsidRPr="00051813">
        <w:t xml:space="preserve"> </w:t>
      </w:r>
      <w:r w:rsidR="001C2631" w:rsidRPr="00051813">
        <w:rPr>
          <w:rFonts w:hint="eastAsia"/>
          <w:lang w:val="en-GB"/>
        </w:rPr>
        <w:t>χ</w:t>
      </w:r>
      <w:r w:rsidR="001C2631" w:rsidRPr="00051813">
        <w:t xml:space="preserve"> </w:t>
      </w:r>
      <w:r w:rsidR="006427EE">
        <w:t>is the</w:t>
      </w:r>
      <w:r w:rsidR="00051813" w:rsidRPr="00051813">
        <w:t xml:space="preserve"> le</w:t>
      </w:r>
      <w:r w:rsidR="00051813">
        <w:t>n</w:t>
      </w:r>
      <w:r w:rsidR="00051813" w:rsidRPr="00051813">
        <w:t xml:space="preserve">gth of propagation </w:t>
      </w:r>
      <w:r w:rsidR="001C2631" w:rsidRPr="00051813">
        <w:t>[49].</w:t>
      </w:r>
      <w:r w:rsidR="001C2631" w:rsidRPr="00490F66">
        <w:rPr>
          <w:color w:val="FF0000"/>
        </w:rPr>
        <w:t xml:space="preserve"> </w:t>
      </w:r>
      <w:r w:rsidR="00BB3E83" w:rsidRPr="00BB3E83">
        <w:t>Regarding the dependency above, the impact of refractive index of MA60BM lens is compensated by its axial thickness, which is 0.2 mm lower comparing to other lenses.</w:t>
      </w:r>
      <w:r w:rsidR="001C2631" w:rsidRPr="00BB3E83">
        <w:t xml:space="preserve"> </w:t>
      </w:r>
      <w:r w:rsidR="00BB3E83" w:rsidRPr="00BB3E83">
        <w:t xml:space="preserve">Two other lenses, which thickness is similar (the difference is 0.008 mm) gives the expected results – </w:t>
      </w:r>
      <w:proofErr w:type="spellStart"/>
      <w:r w:rsidR="00BB3E83" w:rsidRPr="00BB3E83">
        <w:t>MTFDrop</w:t>
      </w:r>
      <w:proofErr w:type="spellEnd"/>
      <w:r w:rsidR="00BB3E83" w:rsidRPr="00BB3E83">
        <w:t xml:space="preserve"> of P359UV reaches higher values than </w:t>
      </w:r>
      <w:r w:rsidR="00BB3E83" w:rsidRPr="00E415E1">
        <w:t xml:space="preserve">AR40N </w:t>
      </w:r>
      <w:r w:rsidR="00DE2876" w:rsidRPr="00E415E1">
        <w:t xml:space="preserve">(differences at p &lt;0.05, </w:t>
      </w:r>
      <w:proofErr w:type="spellStart"/>
      <w:r w:rsidR="00DE2876" w:rsidRPr="00E415E1">
        <w:t>Wilcoxon</w:t>
      </w:r>
      <w:proofErr w:type="spellEnd"/>
      <w:r w:rsidR="00DE2876" w:rsidRPr="00E415E1">
        <w:t xml:space="preserve"> test).</w:t>
      </w:r>
      <w:r w:rsidR="00661685">
        <w:t xml:space="preserve"> </w:t>
      </w:r>
      <w:r w:rsidR="00661685" w:rsidRPr="00E71984">
        <w:t>It is consistent with Mie scattering theory, because the lens of bigger difference between the material and scatters, shows bigger modulation transfer function drop.</w:t>
      </w:r>
      <w:r w:rsidR="001C2631" w:rsidRPr="00E71984">
        <w:t xml:space="preserve"> </w:t>
      </w:r>
    </w:p>
    <w:p w:rsidR="001C2631" w:rsidRPr="00E2182A" w:rsidRDefault="001C2631" w:rsidP="001C2631">
      <w:pPr>
        <w:spacing w:line="240" w:lineRule="exact"/>
        <w:ind w:firstLine="142"/>
        <w:jc w:val="both"/>
      </w:pPr>
      <w:r w:rsidRPr="00E71984">
        <w:tab/>
      </w:r>
      <w:r w:rsidR="00F337C6" w:rsidRPr="000617BC">
        <w:t xml:space="preserve">The study considers only simplified model of intraocular lens with </w:t>
      </w:r>
      <w:proofErr w:type="spellStart"/>
      <w:r w:rsidR="00F337C6" w:rsidRPr="000617BC">
        <w:t>glistenings</w:t>
      </w:r>
      <w:proofErr w:type="spellEnd"/>
      <w:r w:rsidR="00F337C6" w:rsidRPr="000617BC">
        <w:t>.</w:t>
      </w:r>
      <w:r w:rsidRPr="000617BC">
        <w:t xml:space="preserve"> </w:t>
      </w:r>
      <w:r w:rsidR="00C46EA4" w:rsidRPr="00C46EA4">
        <w:t>In realistic element microvacuoles tend to occur in different sizes.</w:t>
      </w:r>
      <w:r w:rsidR="00F04180" w:rsidRPr="00C46EA4">
        <w:t xml:space="preserve"> </w:t>
      </w:r>
      <w:r w:rsidR="00C46EA4">
        <w:t>Their location is also very irregular, depending on a str</w:t>
      </w:r>
      <w:r w:rsidR="00F9179F">
        <w:t>ucture of a poly</w:t>
      </w:r>
      <w:r w:rsidR="00C46EA4">
        <w:t xml:space="preserve">mer. </w:t>
      </w:r>
      <w:r w:rsidR="0084378F" w:rsidRPr="0084378F">
        <w:t xml:space="preserve">Because of this diversity, experimental studies, which could precisely define the relation </w:t>
      </w:r>
      <w:r w:rsidR="002E0ADE">
        <w:t>between opti</w:t>
      </w:r>
      <w:r w:rsidR="0084378F" w:rsidRPr="0084378F">
        <w:t>cal image quality</w:t>
      </w:r>
      <w:r w:rsidR="0084378F">
        <w:t xml:space="preserve"> and </w:t>
      </w:r>
      <w:proofErr w:type="spellStart"/>
      <w:r w:rsidR="0084378F">
        <w:t>glistenings</w:t>
      </w:r>
      <w:proofErr w:type="spellEnd"/>
      <w:r w:rsidR="0084378F">
        <w:t>, are impossible</w:t>
      </w:r>
      <w:r w:rsidR="000F1FCA" w:rsidRPr="0084378F">
        <w:t xml:space="preserve">. </w:t>
      </w:r>
      <w:r w:rsidR="00796F5B" w:rsidRPr="00796F5B">
        <w:t>However our technique is a place to start</w:t>
      </w:r>
      <w:r w:rsidR="00002962">
        <w:t xml:space="preserve"> for</w:t>
      </w:r>
      <w:r w:rsidR="00796F5B" w:rsidRPr="00796F5B">
        <w:t xml:space="preserve"> further research, which may increase and improve the knowledge of des</w:t>
      </w:r>
      <w:r w:rsidR="00002962">
        <w:t>c</w:t>
      </w:r>
      <w:r w:rsidR="00796F5B" w:rsidRPr="00796F5B">
        <w:t>ribed phenomenon.</w:t>
      </w:r>
      <w:r w:rsidR="001143CC" w:rsidRPr="00796F5B">
        <w:rPr>
          <w:color w:val="FF0000"/>
        </w:rPr>
        <w:t xml:space="preserve"> </w:t>
      </w:r>
      <w:r w:rsidR="00AA1D17" w:rsidRPr="00AA1D17">
        <w:t xml:space="preserve">Owing to the technique it is possible to precisely measure the influence of density and diameter of microvacuoles and other design parameters of the lens. </w:t>
      </w:r>
      <w:r w:rsidR="00210B95">
        <w:t xml:space="preserve">Further research could systematize the knowledge of </w:t>
      </w:r>
      <w:proofErr w:type="spellStart"/>
      <w:r w:rsidR="00210B95">
        <w:t>glistenings</w:t>
      </w:r>
      <w:proofErr w:type="spellEnd"/>
      <w:r w:rsidR="00210B95">
        <w:t xml:space="preserve"> and in the same time might be helpful for intraocular lens designers.</w:t>
      </w:r>
      <w:r w:rsidR="00D247A0" w:rsidRPr="00210B95">
        <w:rPr>
          <w:color w:val="FF0000"/>
        </w:rPr>
        <w:t xml:space="preserve"> </w:t>
      </w:r>
      <w:r w:rsidR="002D623F" w:rsidRPr="002D623F">
        <w:t xml:space="preserve">Based on our study, it is </w:t>
      </w:r>
      <w:r w:rsidR="00AA1D17">
        <w:t>believed that microvacuoles diameter</w:t>
      </w:r>
      <w:r w:rsidR="002D623F" w:rsidRPr="002D623F">
        <w:t xml:space="preserve">, density of their location, eye pupil diameter, lens thickness and lens refractive index has an influence on lowering the image quality, which </w:t>
      </w:r>
      <w:r w:rsidR="002D623F">
        <w:t>might be</w:t>
      </w:r>
      <w:r w:rsidR="002D623F" w:rsidRPr="002D623F">
        <w:t xml:space="preserve"> measured by </w:t>
      </w:r>
      <w:proofErr w:type="spellStart"/>
      <w:r w:rsidR="002D623F" w:rsidRPr="002D623F">
        <w:t>MTFDrop</w:t>
      </w:r>
      <w:proofErr w:type="spellEnd"/>
      <w:r w:rsidR="002D623F" w:rsidRPr="002D623F">
        <w:t>.</w:t>
      </w:r>
      <w:r w:rsidR="002D623F" w:rsidRPr="002D623F">
        <w:rPr>
          <w:color w:val="FF0000"/>
        </w:rPr>
        <w:t xml:space="preserve"> </w:t>
      </w:r>
      <w:r w:rsidR="006E7877" w:rsidRPr="006E7877">
        <w:t xml:space="preserve">The results of our study confirmed the </w:t>
      </w:r>
      <w:r w:rsidR="00F16C10">
        <w:t>interpretation</w:t>
      </w:r>
      <w:r w:rsidR="006E7877">
        <w:t xml:space="preserve"> by </w:t>
      </w:r>
      <w:proofErr w:type="spellStart"/>
      <w:r w:rsidR="006E7877">
        <w:t>DeHoog</w:t>
      </w:r>
      <w:proofErr w:type="spellEnd"/>
      <w:r w:rsidR="006E7877">
        <w:t xml:space="preserve"> et al [].</w:t>
      </w:r>
      <w:r w:rsidR="006E7877" w:rsidRPr="006E7877">
        <w:t xml:space="preserve"> </w:t>
      </w:r>
      <w:r w:rsidR="00205635" w:rsidRPr="00205635">
        <w:t>In order to minimalize scattering and it</w:t>
      </w:r>
      <w:r w:rsidR="0047261F">
        <w:t>s neg</w:t>
      </w:r>
      <w:r w:rsidR="00205635" w:rsidRPr="00205635">
        <w:t xml:space="preserve">ative effects, thickness of the element </w:t>
      </w:r>
      <w:r w:rsidR="00205635">
        <w:t>need</w:t>
      </w:r>
      <w:r w:rsidR="0047261F">
        <w:t>s</w:t>
      </w:r>
      <w:r w:rsidR="00205635">
        <w:t xml:space="preserve"> to</w:t>
      </w:r>
      <w:r w:rsidR="00205635" w:rsidRPr="00205635">
        <w:t xml:space="preserve"> be as low as possible.</w:t>
      </w:r>
      <w:r w:rsidR="00205635">
        <w:t xml:space="preserve"> </w:t>
      </w:r>
      <w:r w:rsidR="00E2182A" w:rsidRPr="00E2182A">
        <w:t>A new method of model</w:t>
      </w:r>
      <w:r w:rsidR="00E2182A">
        <w:t>l</w:t>
      </w:r>
      <w:r w:rsidR="00E2182A" w:rsidRPr="00E2182A">
        <w:t>ing individual cases should be</w:t>
      </w:r>
      <w:r w:rsidR="00E2182A">
        <w:t xml:space="preserve"> developed</w:t>
      </w:r>
      <w:r w:rsidR="00E2182A" w:rsidRPr="00E2182A">
        <w:t xml:space="preserve"> in further research. As a form of detailed analysis it should allow irregular vacuoles l</w:t>
      </w:r>
      <w:r w:rsidR="00A51006">
        <w:t xml:space="preserve">ocation and different </w:t>
      </w:r>
      <w:r w:rsidR="00E2182A" w:rsidRPr="00E2182A">
        <w:t>diamete</w:t>
      </w:r>
      <w:r w:rsidR="00E2182A">
        <w:t>r</w:t>
      </w:r>
      <w:r w:rsidR="00A51006">
        <w:t xml:space="preserve"> of microvacuoles in one lens</w:t>
      </w:r>
      <w:r w:rsidR="00E2182A" w:rsidRPr="00E2182A">
        <w:t xml:space="preserve">. </w:t>
      </w:r>
    </w:p>
    <w:p w:rsidR="00D247A0" w:rsidRPr="00E2182A" w:rsidRDefault="00D247A0" w:rsidP="00993CB5">
      <w:pPr>
        <w:pStyle w:val="Text"/>
        <w:ind w:firstLine="0"/>
        <w:jc w:val="left"/>
        <w:rPr>
          <w:b/>
        </w:rPr>
      </w:pPr>
    </w:p>
    <w:p w:rsidR="00D07C87" w:rsidRDefault="00D07C87" w:rsidP="00993CB5">
      <w:pPr>
        <w:pStyle w:val="Text"/>
        <w:ind w:firstLine="0"/>
        <w:jc w:val="left"/>
        <w:rPr>
          <w:b/>
        </w:rPr>
      </w:pPr>
      <w:r w:rsidRPr="00D07C87">
        <w:rPr>
          <w:b/>
        </w:rPr>
        <w:t>References</w:t>
      </w:r>
    </w:p>
    <w:p w:rsidR="00D07C87" w:rsidRPr="00993CB5" w:rsidRDefault="00D07C87" w:rsidP="00D07C87">
      <w:pPr>
        <w:pStyle w:val="Text"/>
        <w:ind w:firstLine="144"/>
        <w:jc w:val="center"/>
        <w:rPr>
          <w:rFonts w:ascii="Times New Roman" w:hAnsi="Times New Roman"/>
          <w:b/>
          <w:sz w:val="16"/>
          <w:szCs w:val="16"/>
        </w:rPr>
      </w:pPr>
    </w:p>
    <w:p w:rsidR="00DE2876" w:rsidRDefault="00DE2876" w:rsidP="00A83064">
      <w:pPr>
        <w:pStyle w:val="Tekstpodstawowyba"/>
        <w:numPr>
          <w:ilvl w:val="0"/>
          <w:numId w:val="19"/>
        </w:numPr>
        <w:tabs>
          <w:tab w:val="right" w:pos="426"/>
          <w:tab w:val="right" w:pos="8788"/>
        </w:tabs>
        <w:spacing w:line="240" w:lineRule="auto"/>
        <w:jc w:val="left"/>
        <w:rPr>
          <w:noProof/>
          <w:sz w:val="16"/>
          <w:szCs w:val="16"/>
          <w:lang w:val="en-US"/>
        </w:rPr>
      </w:pPr>
      <w:r w:rsidRPr="00DE2876">
        <w:rPr>
          <w:noProof/>
          <w:sz w:val="16"/>
          <w:szCs w:val="16"/>
          <w:lang w:val="en-US"/>
        </w:rPr>
        <w:t xml:space="preserve">D. A. Atchison,  Vision Research,  </w:t>
      </w:r>
      <w:r w:rsidRPr="00DE2876">
        <w:rPr>
          <w:b/>
          <w:noProof/>
          <w:sz w:val="16"/>
          <w:szCs w:val="16"/>
          <w:lang w:val="en-US"/>
        </w:rPr>
        <w:t>46</w:t>
      </w:r>
      <w:r w:rsidRPr="00DE2876">
        <w:rPr>
          <w:noProof/>
          <w:sz w:val="16"/>
          <w:szCs w:val="16"/>
          <w:lang w:val="en-US"/>
        </w:rPr>
        <w:t>, pp. 2236-2250, (2006).</w:t>
      </w:r>
    </w:p>
    <w:p w:rsidR="007B0DED" w:rsidRPr="00DE2876" w:rsidRDefault="007B0DED" w:rsidP="00A83064">
      <w:pPr>
        <w:pStyle w:val="Tekstpodstawowyba"/>
        <w:numPr>
          <w:ilvl w:val="0"/>
          <w:numId w:val="19"/>
        </w:numPr>
        <w:tabs>
          <w:tab w:val="right" w:pos="426"/>
          <w:tab w:val="right" w:pos="8788"/>
        </w:tabs>
        <w:spacing w:line="240" w:lineRule="auto"/>
        <w:jc w:val="left"/>
        <w:rPr>
          <w:noProof/>
          <w:sz w:val="16"/>
          <w:szCs w:val="16"/>
          <w:lang w:val="en-US"/>
        </w:rPr>
      </w:pPr>
      <w:r>
        <w:rPr>
          <w:noProof/>
          <w:sz w:val="16"/>
          <w:szCs w:val="16"/>
          <w:lang w:val="en-US"/>
        </w:rPr>
        <w:t>A. Miyata etal.</w:t>
      </w:r>
      <w:r w:rsidR="004468E1">
        <w:rPr>
          <w:noProof/>
          <w:sz w:val="16"/>
          <w:szCs w:val="16"/>
          <w:lang w:val="en-US"/>
        </w:rPr>
        <w:t>Clin  Exp,</w:t>
      </w:r>
      <w:r w:rsidRPr="004468E1">
        <w:rPr>
          <w:b/>
          <w:noProof/>
          <w:sz w:val="16"/>
          <w:szCs w:val="16"/>
          <w:lang w:val="en-US"/>
        </w:rPr>
        <w:t>45</w:t>
      </w:r>
      <w:r w:rsidR="004468E1">
        <w:rPr>
          <w:noProof/>
          <w:sz w:val="16"/>
          <w:szCs w:val="16"/>
          <w:lang w:val="en-US"/>
        </w:rPr>
        <w:t xml:space="preserve">, </w:t>
      </w:r>
      <w:r w:rsidRPr="007B0DED">
        <w:rPr>
          <w:noProof/>
          <w:sz w:val="16"/>
          <w:szCs w:val="16"/>
          <w:lang w:val="en-US"/>
        </w:rPr>
        <w:t>564-569,</w:t>
      </w:r>
      <w:r w:rsidR="004468E1">
        <w:rPr>
          <w:noProof/>
          <w:sz w:val="16"/>
          <w:szCs w:val="16"/>
          <w:lang w:val="en-US"/>
        </w:rPr>
        <w:t xml:space="preserve"> (</w:t>
      </w:r>
      <w:r w:rsidRPr="007B0DED">
        <w:rPr>
          <w:noProof/>
          <w:sz w:val="16"/>
          <w:szCs w:val="16"/>
          <w:lang w:val="en-US"/>
        </w:rPr>
        <w:t xml:space="preserve"> 2001</w:t>
      </w:r>
      <w:r w:rsidR="004468E1">
        <w:rPr>
          <w:noProof/>
          <w:sz w:val="16"/>
          <w:szCs w:val="16"/>
          <w:lang w:val="en-US"/>
        </w:rPr>
        <w:t>)</w:t>
      </w:r>
      <w:r w:rsidRPr="007B0DED">
        <w:rPr>
          <w:noProof/>
          <w:sz w:val="16"/>
          <w:szCs w:val="16"/>
          <w:lang w:val="en-US"/>
        </w:rPr>
        <w:t>.</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H. Matsushima et al., </w:t>
      </w:r>
      <w:r w:rsidRPr="002977CB">
        <w:rPr>
          <w:bCs/>
          <w:sz w:val="16"/>
          <w:szCs w:val="16"/>
          <w:lang w:val="en-US"/>
        </w:rPr>
        <w:t xml:space="preserve">J Cataract </w:t>
      </w:r>
      <w:proofErr w:type="spellStart"/>
      <w:r w:rsidRPr="002977CB">
        <w:rPr>
          <w:bCs/>
          <w:sz w:val="16"/>
          <w:szCs w:val="16"/>
          <w:lang w:val="en-US"/>
        </w:rPr>
        <w:t>Refr</w:t>
      </w:r>
      <w:proofErr w:type="spellEnd"/>
      <w:r w:rsidRPr="002977CB">
        <w:rPr>
          <w:bCs/>
          <w:sz w:val="16"/>
          <w:szCs w:val="16"/>
          <w:lang w:val="en-US"/>
        </w:rPr>
        <w:t xml:space="preserve"> </w:t>
      </w:r>
      <w:proofErr w:type="spellStart"/>
      <w:r w:rsidRPr="002977CB">
        <w:rPr>
          <w:bCs/>
          <w:sz w:val="16"/>
          <w:szCs w:val="16"/>
          <w:lang w:val="en-US"/>
        </w:rPr>
        <w:t>Surg</w:t>
      </w:r>
      <w:proofErr w:type="spellEnd"/>
      <w:r w:rsidRPr="002977CB">
        <w:rPr>
          <w:bCs/>
          <w:sz w:val="16"/>
          <w:szCs w:val="16"/>
          <w:lang w:val="en-US"/>
        </w:rPr>
        <w:t xml:space="preserve"> </w:t>
      </w:r>
      <w:r w:rsidRPr="002977CB">
        <w:rPr>
          <w:b/>
          <w:noProof/>
          <w:sz w:val="16"/>
          <w:szCs w:val="16"/>
          <w:lang w:val="en-US"/>
        </w:rPr>
        <w:t>35</w:t>
      </w:r>
      <w:r w:rsidRPr="002977CB">
        <w:rPr>
          <w:noProof/>
          <w:sz w:val="16"/>
          <w:szCs w:val="16"/>
          <w:lang w:val="en-US"/>
        </w:rPr>
        <w:t>, 1927 (2009).</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M. Nagata et al., </w:t>
      </w:r>
      <w:r w:rsidRPr="002977CB">
        <w:rPr>
          <w:bCs/>
          <w:sz w:val="16"/>
          <w:szCs w:val="16"/>
          <w:lang w:val="en-US"/>
        </w:rPr>
        <w:t xml:space="preserve">J Cataract </w:t>
      </w:r>
      <w:proofErr w:type="spellStart"/>
      <w:r w:rsidRPr="002977CB">
        <w:rPr>
          <w:bCs/>
          <w:sz w:val="16"/>
          <w:szCs w:val="16"/>
          <w:lang w:val="en-US"/>
        </w:rPr>
        <w:t>Refr</w:t>
      </w:r>
      <w:proofErr w:type="spellEnd"/>
      <w:r w:rsidRPr="002977CB">
        <w:rPr>
          <w:bCs/>
          <w:sz w:val="16"/>
          <w:szCs w:val="16"/>
          <w:lang w:val="en-US"/>
        </w:rPr>
        <w:t xml:space="preserve"> </w:t>
      </w:r>
      <w:proofErr w:type="spellStart"/>
      <w:r w:rsidRPr="002977CB">
        <w:rPr>
          <w:bCs/>
          <w:sz w:val="16"/>
          <w:szCs w:val="16"/>
          <w:lang w:val="en-US"/>
        </w:rPr>
        <w:t>Surg</w:t>
      </w:r>
      <w:proofErr w:type="spellEnd"/>
      <w:r w:rsidRPr="002977CB">
        <w:rPr>
          <w:bCs/>
          <w:sz w:val="16"/>
          <w:szCs w:val="16"/>
          <w:lang w:val="en-US"/>
        </w:rPr>
        <w:t xml:space="preserve"> </w:t>
      </w:r>
      <w:r w:rsidRPr="002977CB">
        <w:rPr>
          <w:b/>
          <w:bCs/>
          <w:sz w:val="16"/>
          <w:szCs w:val="16"/>
          <w:lang w:val="en-US"/>
        </w:rPr>
        <w:t>3</w:t>
      </w:r>
      <w:r w:rsidRPr="002977CB">
        <w:rPr>
          <w:b/>
          <w:noProof/>
          <w:sz w:val="16"/>
          <w:szCs w:val="16"/>
          <w:lang w:val="en-US"/>
        </w:rPr>
        <w:t>6</w:t>
      </w:r>
      <w:r w:rsidRPr="002977CB">
        <w:rPr>
          <w:noProof/>
          <w:sz w:val="16"/>
          <w:szCs w:val="16"/>
          <w:lang w:val="en-US"/>
        </w:rPr>
        <w:t>, 2056 (2010).</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R. Mackool, J. Colin, </w:t>
      </w:r>
      <w:r w:rsidRPr="002977CB">
        <w:rPr>
          <w:bCs/>
          <w:sz w:val="16"/>
          <w:szCs w:val="16"/>
          <w:lang w:val="en-US"/>
        </w:rPr>
        <w:t xml:space="preserve">J Cataract </w:t>
      </w:r>
      <w:proofErr w:type="spellStart"/>
      <w:r w:rsidRPr="002977CB">
        <w:rPr>
          <w:bCs/>
          <w:sz w:val="16"/>
          <w:szCs w:val="16"/>
          <w:lang w:val="en-US"/>
        </w:rPr>
        <w:t>Refr</w:t>
      </w:r>
      <w:proofErr w:type="spellEnd"/>
      <w:r w:rsidRPr="002977CB">
        <w:rPr>
          <w:bCs/>
          <w:sz w:val="16"/>
          <w:szCs w:val="16"/>
          <w:lang w:val="en-US"/>
        </w:rPr>
        <w:t xml:space="preserve"> </w:t>
      </w:r>
      <w:proofErr w:type="spellStart"/>
      <w:r w:rsidRPr="002977CB">
        <w:rPr>
          <w:bCs/>
          <w:sz w:val="16"/>
          <w:szCs w:val="16"/>
          <w:lang w:val="en-US"/>
        </w:rPr>
        <w:t>Surg</w:t>
      </w:r>
      <w:proofErr w:type="spellEnd"/>
      <w:r w:rsidRPr="002977CB">
        <w:rPr>
          <w:noProof/>
          <w:sz w:val="16"/>
          <w:szCs w:val="16"/>
          <w:lang w:val="en-US"/>
        </w:rPr>
        <w:t xml:space="preserve"> </w:t>
      </w:r>
      <w:r w:rsidRPr="002977CB">
        <w:rPr>
          <w:b/>
          <w:noProof/>
          <w:sz w:val="16"/>
          <w:szCs w:val="16"/>
          <w:lang w:val="en-US"/>
        </w:rPr>
        <w:t>35</w:t>
      </w:r>
      <w:r w:rsidRPr="002977CB">
        <w:rPr>
          <w:noProof/>
          <w:sz w:val="16"/>
          <w:szCs w:val="16"/>
          <w:lang w:val="en-US"/>
        </w:rPr>
        <w:t>, 1480 (2009).</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D. Saylor et al. </w:t>
      </w:r>
      <w:r w:rsidRPr="002977CB">
        <w:rPr>
          <w:iCs/>
          <w:noProof/>
          <w:sz w:val="16"/>
          <w:szCs w:val="16"/>
          <w:lang w:val="en-US"/>
        </w:rPr>
        <w:t>Acta Biomater</w:t>
      </w:r>
      <w:r w:rsidRPr="002977CB">
        <w:rPr>
          <w:i/>
          <w:iCs/>
          <w:noProof/>
          <w:sz w:val="16"/>
          <w:szCs w:val="16"/>
          <w:lang w:val="en-US"/>
        </w:rPr>
        <w:t xml:space="preserve"> </w:t>
      </w:r>
      <w:r w:rsidRPr="002977CB">
        <w:rPr>
          <w:b/>
          <w:noProof/>
          <w:sz w:val="16"/>
          <w:szCs w:val="16"/>
          <w:lang w:val="en-US"/>
        </w:rPr>
        <w:t>6</w:t>
      </w:r>
      <w:r w:rsidRPr="002977CB">
        <w:rPr>
          <w:noProof/>
          <w:sz w:val="16"/>
          <w:szCs w:val="16"/>
          <w:lang w:val="en-US"/>
        </w:rPr>
        <w:t>, 1090 (2010).</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O. Omar et al., </w:t>
      </w:r>
      <w:r w:rsidRPr="002977CB">
        <w:rPr>
          <w:bCs/>
          <w:sz w:val="16"/>
          <w:szCs w:val="16"/>
          <w:lang w:val="en-US"/>
        </w:rPr>
        <w:t xml:space="preserve">J Cataract </w:t>
      </w:r>
      <w:proofErr w:type="spellStart"/>
      <w:r w:rsidRPr="002977CB">
        <w:rPr>
          <w:bCs/>
          <w:sz w:val="16"/>
          <w:szCs w:val="16"/>
          <w:lang w:val="en-US"/>
        </w:rPr>
        <w:t>Refr</w:t>
      </w:r>
      <w:proofErr w:type="spellEnd"/>
      <w:r w:rsidRPr="002977CB">
        <w:rPr>
          <w:bCs/>
          <w:sz w:val="16"/>
          <w:szCs w:val="16"/>
          <w:lang w:val="en-US"/>
        </w:rPr>
        <w:t xml:space="preserve"> </w:t>
      </w:r>
      <w:proofErr w:type="spellStart"/>
      <w:r w:rsidRPr="002977CB">
        <w:rPr>
          <w:bCs/>
          <w:sz w:val="16"/>
          <w:szCs w:val="16"/>
          <w:lang w:val="en-US"/>
        </w:rPr>
        <w:t>Surg</w:t>
      </w:r>
      <w:proofErr w:type="spellEnd"/>
      <w:r w:rsidRPr="002977CB">
        <w:rPr>
          <w:noProof/>
          <w:sz w:val="16"/>
          <w:szCs w:val="16"/>
          <w:lang w:val="en-US"/>
        </w:rPr>
        <w:t xml:space="preserve"> </w:t>
      </w:r>
      <w:r w:rsidRPr="002977CB">
        <w:rPr>
          <w:b/>
          <w:noProof/>
          <w:sz w:val="16"/>
          <w:szCs w:val="16"/>
          <w:lang w:val="en-US"/>
        </w:rPr>
        <w:t>24</w:t>
      </w:r>
      <w:r w:rsidRPr="002977CB">
        <w:rPr>
          <w:noProof/>
          <w:sz w:val="16"/>
          <w:szCs w:val="16"/>
          <w:lang w:val="en-US"/>
        </w:rPr>
        <w:t>, 107 (1998).</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E. Mönestam, A. Behndig, </w:t>
      </w:r>
      <w:r w:rsidR="005D6435" w:rsidRPr="002977CB">
        <w:rPr>
          <w:iCs/>
          <w:noProof/>
          <w:sz w:val="16"/>
          <w:szCs w:val="16"/>
          <w:lang w:val="en-US"/>
        </w:rPr>
        <w:t>Acta Ophtalmol</w:t>
      </w:r>
      <w:r w:rsidRPr="002977CB">
        <w:rPr>
          <w:i/>
          <w:iCs/>
          <w:noProof/>
          <w:sz w:val="16"/>
          <w:szCs w:val="16"/>
          <w:lang w:val="en-US"/>
        </w:rPr>
        <w:t xml:space="preserve"> </w:t>
      </w:r>
      <w:r w:rsidRPr="002977CB">
        <w:rPr>
          <w:b/>
          <w:noProof/>
          <w:sz w:val="16"/>
          <w:szCs w:val="16"/>
          <w:lang w:val="en-US"/>
        </w:rPr>
        <w:t>89</w:t>
      </w:r>
      <w:r w:rsidRPr="002977CB">
        <w:rPr>
          <w:noProof/>
          <w:sz w:val="16"/>
          <w:szCs w:val="16"/>
          <w:lang w:val="en-US"/>
        </w:rPr>
        <w:t xml:space="preserve">, </w:t>
      </w:r>
      <w:r w:rsidR="005D6435" w:rsidRPr="002977CB">
        <w:rPr>
          <w:noProof/>
          <w:sz w:val="16"/>
          <w:szCs w:val="16"/>
          <w:lang w:val="en-US"/>
        </w:rPr>
        <w:t xml:space="preserve">724 </w:t>
      </w:r>
      <w:r w:rsidRPr="002977CB">
        <w:rPr>
          <w:noProof/>
          <w:sz w:val="16"/>
          <w:szCs w:val="16"/>
          <w:lang w:val="en-US"/>
        </w:rPr>
        <w:t>(2011).</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K. Kato et al., </w:t>
      </w:r>
      <w:r w:rsidRPr="002977CB">
        <w:rPr>
          <w:bCs/>
          <w:sz w:val="16"/>
          <w:szCs w:val="16"/>
          <w:lang w:val="en-US"/>
        </w:rPr>
        <w:t xml:space="preserve">J Cataract </w:t>
      </w:r>
      <w:proofErr w:type="spellStart"/>
      <w:r w:rsidRPr="002977CB">
        <w:rPr>
          <w:bCs/>
          <w:sz w:val="16"/>
          <w:szCs w:val="16"/>
          <w:lang w:val="en-US"/>
        </w:rPr>
        <w:t>Refr</w:t>
      </w:r>
      <w:proofErr w:type="spellEnd"/>
      <w:r w:rsidRPr="002977CB">
        <w:rPr>
          <w:bCs/>
          <w:sz w:val="16"/>
          <w:szCs w:val="16"/>
          <w:lang w:val="en-US"/>
        </w:rPr>
        <w:t xml:space="preserve"> </w:t>
      </w:r>
      <w:proofErr w:type="spellStart"/>
      <w:r w:rsidRPr="002977CB">
        <w:rPr>
          <w:bCs/>
          <w:sz w:val="16"/>
          <w:szCs w:val="16"/>
          <w:lang w:val="en-US"/>
        </w:rPr>
        <w:t>Surg</w:t>
      </w:r>
      <w:proofErr w:type="spellEnd"/>
      <w:r w:rsidRPr="002977CB">
        <w:rPr>
          <w:noProof/>
          <w:sz w:val="16"/>
          <w:szCs w:val="16"/>
          <w:lang w:val="en-US"/>
        </w:rPr>
        <w:t xml:space="preserve"> </w:t>
      </w:r>
      <w:r w:rsidRPr="002977CB">
        <w:rPr>
          <w:b/>
          <w:noProof/>
          <w:sz w:val="16"/>
          <w:szCs w:val="16"/>
          <w:lang w:val="en-US"/>
        </w:rPr>
        <w:t>27</w:t>
      </w:r>
      <w:r w:rsidRPr="002977CB">
        <w:rPr>
          <w:noProof/>
          <w:sz w:val="16"/>
          <w:szCs w:val="16"/>
          <w:lang w:val="en-US"/>
        </w:rPr>
        <w:t>, 1493 (2001).</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J. Colin, I. Orignac and D. Touboul, </w:t>
      </w:r>
      <w:r w:rsidRPr="002977CB">
        <w:rPr>
          <w:bCs/>
          <w:sz w:val="16"/>
          <w:szCs w:val="16"/>
          <w:lang w:val="en-US"/>
        </w:rPr>
        <w:t xml:space="preserve">J Cataract </w:t>
      </w:r>
      <w:proofErr w:type="spellStart"/>
      <w:r w:rsidRPr="002977CB">
        <w:rPr>
          <w:bCs/>
          <w:sz w:val="16"/>
          <w:szCs w:val="16"/>
          <w:lang w:val="en-US"/>
        </w:rPr>
        <w:t>Refr</w:t>
      </w:r>
      <w:proofErr w:type="spellEnd"/>
      <w:r w:rsidRPr="002977CB">
        <w:rPr>
          <w:bCs/>
          <w:sz w:val="16"/>
          <w:szCs w:val="16"/>
          <w:lang w:val="en-US"/>
        </w:rPr>
        <w:t xml:space="preserve"> </w:t>
      </w:r>
      <w:proofErr w:type="spellStart"/>
      <w:r w:rsidRPr="002977CB">
        <w:rPr>
          <w:bCs/>
          <w:sz w:val="16"/>
          <w:szCs w:val="16"/>
          <w:lang w:val="en-US"/>
        </w:rPr>
        <w:t>Surg</w:t>
      </w:r>
      <w:proofErr w:type="spellEnd"/>
      <w:r w:rsidRPr="002977CB">
        <w:rPr>
          <w:bCs/>
          <w:sz w:val="16"/>
          <w:szCs w:val="16"/>
          <w:lang w:val="en-US"/>
        </w:rPr>
        <w:t xml:space="preserve"> </w:t>
      </w:r>
      <w:r w:rsidRPr="002977CB">
        <w:rPr>
          <w:b/>
          <w:noProof/>
          <w:sz w:val="16"/>
          <w:szCs w:val="16"/>
          <w:lang w:val="en-US"/>
        </w:rPr>
        <w:t>35</w:t>
      </w:r>
      <w:r w:rsidRPr="002977CB">
        <w:rPr>
          <w:noProof/>
          <w:sz w:val="16"/>
          <w:szCs w:val="16"/>
          <w:lang w:val="en-US"/>
        </w:rPr>
        <w:t>, 2121 (2009).</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H. Dick et al., </w:t>
      </w:r>
      <w:r w:rsidR="005D6435" w:rsidRPr="002977CB">
        <w:rPr>
          <w:iCs/>
          <w:noProof/>
          <w:sz w:val="16"/>
          <w:szCs w:val="16"/>
          <w:lang w:val="en-US"/>
        </w:rPr>
        <w:t>Ophtalmic Res</w:t>
      </w:r>
      <w:r w:rsidRPr="002977CB">
        <w:rPr>
          <w:i/>
          <w:iCs/>
          <w:noProof/>
          <w:sz w:val="16"/>
          <w:szCs w:val="16"/>
          <w:lang w:val="en-US"/>
        </w:rPr>
        <w:t xml:space="preserve"> </w:t>
      </w:r>
      <w:r w:rsidRPr="002977CB">
        <w:rPr>
          <w:b/>
          <w:noProof/>
          <w:sz w:val="16"/>
          <w:szCs w:val="16"/>
          <w:lang w:val="en-US"/>
        </w:rPr>
        <w:t>33</w:t>
      </w:r>
      <w:r w:rsidRPr="002977CB">
        <w:rPr>
          <w:noProof/>
          <w:sz w:val="16"/>
          <w:szCs w:val="16"/>
          <w:lang w:val="en-US"/>
        </w:rPr>
        <w:t>, 61 (2001).</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M. Ayaki et al., </w:t>
      </w:r>
      <w:r w:rsidR="005D6435" w:rsidRPr="002977CB">
        <w:rPr>
          <w:iCs/>
          <w:noProof/>
          <w:sz w:val="16"/>
          <w:szCs w:val="16"/>
          <w:lang w:val="en-US"/>
        </w:rPr>
        <w:t>J Long-Term Eff Med</w:t>
      </w:r>
      <w:r w:rsidRPr="002977CB">
        <w:rPr>
          <w:i/>
          <w:iCs/>
          <w:noProof/>
          <w:sz w:val="16"/>
          <w:szCs w:val="16"/>
          <w:lang w:val="en-US"/>
        </w:rPr>
        <w:t xml:space="preserve"> </w:t>
      </w:r>
      <w:r w:rsidRPr="002977CB">
        <w:rPr>
          <w:b/>
          <w:noProof/>
          <w:sz w:val="16"/>
          <w:szCs w:val="16"/>
          <w:lang w:val="en-US"/>
        </w:rPr>
        <w:t>16</w:t>
      </w:r>
      <w:r w:rsidRPr="002977CB">
        <w:rPr>
          <w:noProof/>
          <w:sz w:val="16"/>
          <w:szCs w:val="16"/>
          <w:lang w:val="en-US"/>
        </w:rPr>
        <w:t>, 451 (2006).</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M. Ronbeck et al., </w:t>
      </w:r>
      <w:r w:rsidR="005D6435" w:rsidRPr="002977CB">
        <w:rPr>
          <w:iCs/>
          <w:noProof/>
          <w:sz w:val="16"/>
          <w:szCs w:val="16"/>
          <w:lang w:val="en-US"/>
        </w:rPr>
        <w:t>Acta Ophtalmol</w:t>
      </w:r>
      <w:r w:rsidRPr="002977CB">
        <w:rPr>
          <w:i/>
          <w:iCs/>
          <w:noProof/>
          <w:sz w:val="16"/>
          <w:szCs w:val="16"/>
          <w:lang w:val="en-US"/>
        </w:rPr>
        <w:t xml:space="preserve"> </w:t>
      </w:r>
      <w:r w:rsidRPr="002977CB">
        <w:rPr>
          <w:b/>
          <w:noProof/>
          <w:sz w:val="16"/>
          <w:szCs w:val="16"/>
          <w:lang w:val="en-US"/>
        </w:rPr>
        <w:t>91</w:t>
      </w:r>
      <w:r w:rsidRPr="002977CB">
        <w:rPr>
          <w:noProof/>
          <w:sz w:val="16"/>
          <w:szCs w:val="16"/>
          <w:lang w:val="en-US"/>
        </w:rPr>
        <w:t xml:space="preserve">, </w:t>
      </w:r>
      <w:r w:rsidR="0004683B" w:rsidRPr="002977CB">
        <w:rPr>
          <w:noProof/>
          <w:sz w:val="16"/>
          <w:szCs w:val="16"/>
          <w:lang w:val="en-US"/>
        </w:rPr>
        <w:t xml:space="preserve">66 </w:t>
      </w:r>
      <w:r w:rsidRPr="002977CB">
        <w:rPr>
          <w:noProof/>
          <w:sz w:val="16"/>
          <w:szCs w:val="16"/>
          <w:lang w:val="en-US"/>
        </w:rPr>
        <w:t>(2013).</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D. J. Apple et al., </w:t>
      </w:r>
      <w:r w:rsidRPr="002977CB">
        <w:rPr>
          <w:iCs/>
          <w:noProof/>
          <w:sz w:val="16"/>
          <w:szCs w:val="16"/>
          <w:lang w:val="en-US"/>
        </w:rPr>
        <w:t xml:space="preserve">Ophtalmology </w:t>
      </w:r>
      <w:r w:rsidRPr="002977CB">
        <w:rPr>
          <w:b/>
          <w:noProof/>
          <w:sz w:val="16"/>
          <w:szCs w:val="16"/>
          <w:lang w:val="en-US"/>
        </w:rPr>
        <w:t>109</w:t>
      </w:r>
      <w:r w:rsidRPr="002977CB">
        <w:rPr>
          <w:noProof/>
          <w:sz w:val="16"/>
          <w:szCs w:val="16"/>
          <w:lang w:val="en-US"/>
        </w:rPr>
        <w:t>, 1666 (2002).</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N. Dahle et al., </w:t>
      </w:r>
      <w:r w:rsidR="0004683B" w:rsidRPr="002977CB">
        <w:rPr>
          <w:iCs/>
          <w:noProof/>
          <w:sz w:val="16"/>
          <w:szCs w:val="16"/>
          <w:lang w:val="en-US"/>
        </w:rPr>
        <w:t>JAMA Ophtalmol</w:t>
      </w:r>
      <w:r w:rsidRPr="002977CB">
        <w:rPr>
          <w:i/>
          <w:iCs/>
          <w:noProof/>
          <w:sz w:val="16"/>
          <w:szCs w:val="16"/>
          <w:lang w:val="en-US"/>
        </w:rPr>
        <w:t xml:space="preserve"> </w:t>
      </w:r>
      <w:r w:rsidRPr="002977CB">
        <w:rPr>
          <w:b/>
          <w:noProof/>
          <w:sz w:val="16"/>
          <w:szCs w:val="16"/>
          <w:lang w:val="en-US"/>
        </w:rPr>
        <w:t>124</w:t>
      </w:r>
      <w:r w:rsidRPr="002977CB">
        <w:rPr>
          <w:noProof/>
          <w:sz w:val="16"/>
          <w:szCs w:val="16"/>
          <w:lang w:val="en-US"/>
        </w:rPr>
        <w:t>, 1350 (2006).</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lang w:val="en-US"/>
        </w:rPr>
      </w:pPr>
      <w:r w:rsidRPr="002977CB">
        <w:rPr>
          <w:noProof/>
          <w:sz w:val="16"/>
          <w:szCs w:val="16"/>
          <w:lang w:val="en-US"/>
        </w:rPr>
        <w:t xml:space="preserve">E. DeHoog, A. Doraiswamy, </w:t>
      </w:r>
      <w:r w:rsidRPr="002977CB">
        <w:rPr>
          <w:bCs/>
          <w:sz w:val="16"/>
          <w:szCs w:val="16"/>
          <w:lang w:val="en-US"/>
        </w:rPr>
        <w:t xml:space="preserve">J Cataract </w:t>
      </w:r>
      <w:proofErr w:type="spellStart"/>
      <w:r w:rsidRPr="002977CB">
        <w:rPr>
          <w:bCs/>
          <w:sz w:val="16"/>
          <w:szCs w:val="16"/>
          <w:lang w:val="en-US"/>
        </w:rPr>
        <w:t>Refr</w:t>
      </w:r>
      <w:proofErr w:type="spellEnd"/>
      <w:r w:rsidRPr="002977CB">
        <w:rPr>
          <w:bCs/>
          <w:sz w:val="16"/>
          <w:szCs w:val="16"/>
          <w:lang w:val="en-US"/>
        </w:rPr>
        <w:t xml:space="preserve"> </w:t>
      </w:r>
      <w:proofErr w:type="spellStart"/>
      <w:r w:rsidRPr="002977CB">
        <w:rPr>
          <w:bCs/>
          <w:sz w:val="16"/>
          <w:szCs w:val="16"/>
          <w:lang w:val="en-US"/>
        </w:rPr>
        <w:t>Surg</w:t>
      </w:r>
      <w:proofErr w:type="spellEnd"/>
      <w:r w:rsidRPr="002977CB">
        <w:rPr>
          <w:noProof/>
          <w:sz w:val="16"/>
          <w:szCs w:val="16"/>
          <w:lang w:val="en-US"/>
        </w:rPr>
        <w:t xml:space="preserve"> </w:t>
      </w:r>
      <w:r w:rsidRPr="002977CB">
        <w:rPr>
          <w:b/>
          <w:noProof/>
          <w:sz w:val="16"/>
          <w:szCs w:val="16"/>
          <w:lang w:val="en-US"/>
        </w:rPr>
        <w:t>40</w:t>
      </w:r>
      <w:r w:rsidRPr="002977CB">
        <w:rPr>
          <w:noProof/>
          <w:sz w:val="16"/>
          <w:szCs w:val="16"/>
          <w:lang w:val="en-US"/>
        </w:rPr>
        <w:t>, 95 (2014).</w:t>
      </w:r>
    </w:p>
    <w:p w:rsidR="001D1136" w:rsidRPr="002977CB" w:rsidRDefault="001D1136" w:rsidP="00A83064">
      <w:pPr>
        <w:pStyle w:val="Tekstpodstawowyba"/>
        <w:numPr>
          <w:ilvl w:val="0"/>
          <w:numId w:val="19"/>
        </w:numPr>
        <w:tabs>
          <w:tab w:val="right" w:pos="426"/>
          <w:tab w:val="right" w:pos="8788"/>
        </w:tabs>
        <w:spacing w:line="240" w:lineRule="auto"/>
        <w:jc w:val="left"/>
        <w:rPr>
          <w:noProof/>
          <w:sz w:val="16"/>
          <w:szCs w:val="16"/>
        </w:rPr>
      </w:pPr>
      <w:r w:rsidRPr="002977CB">
        <w:rPr>
          <w:noProof/>
          <w:sz w:val="16"/>
          <w:szCs w:val="16"/>
        </w:rPr>
        <w:t xml:space="preserve">D. Siedlecki, J. Nowak and M. Zając, </w:t>
      </w:r>
      <w:r w:rsidR="0004683B" w:rsidRPr="002977CB">
        <w:rPr>
          <w:iCs/>
          <w:noProof/>
          <w:sz w:val="16"/>
          <w:szCs w:val="16"/>
        </w:rPr>
        <w:t>J Biomed</w:t>
      </w:r>
      <w:r w:rsidRPr="002977CB">
        <w:rPr>
          <w:iCs/>
          <w:noProof/>
          <w:sz w:val="16"/>
          <w:szCs w:val="16"/>
        </w:rPr>
        <w:t xml:space="preserve"> </w:t>
      </w:r>
      <w:r w:rsidR="0004683B" w:rsidRPr="002977CB">
        <w:rPr>
          <w:iCs/>
          <w:noProof/>
          <w:sz w:val="16"/>
          <w:szCs w:val="16"/>
        </w:rPr>
        <w:t>Opt</w:t>
      </w:r>
      <w:r w:rsidRPr="002977CB">
        <w:rPr>
          <w:iCs/>
          <w:noProof/>
          <w:sz w:val="16"/>
          <w:szCs w:val="16"/>
        </w:rPr>
        <w:t xml:space="preserve"> </w:t>
      </w:r>
      <w:r w:rsidRPr="002977CB">
        <w:rPr>
          <w:b/>
          <w:noProof/>
          <w:sz w:val="16"/>
          <w:szCs w:val="16"/>
        </w:rPr>
        <w:t>11</w:t>
      </w:r>
      <w:r w:rsidRPr="002977CB">
        <w:rPr>
          <w:noProof/>
          <w:sz w:val="16"/>
          <w:szCs w:val="16"/>
        </w:rPr>
        <w:t xml:space="preserve">, </w:t>
      </w:r>
      <w:r w:rsidR="0004683B" w:rsidRPr="002977CB">
        <w:rPr>
          <w:noProof/>
          <w:sz w:val="16"/>
          <w:szCs w:val="16"/>
        </w:rPr>
        <w:t xml:space="preserve">054012 </w:t>
      </w:r>
      <w:r w:rsidRPr="002977CB">
        <w:rPr>
          <w:noProof/>
          <w:sz w:val="16"/>
          <w:szCs w:val="16"/>
        </w:rPr>
        <w:t>(2006).</w:t>
      </w:r>
    </w:p>
    <w:p w:rsidR="00FD4F78" w:rsidRPr="002977CB" w:rsidRDefault="00FD4F78" w:rsidP="00FD4F78">
      <w:pPr>
        <w:pStyle w:val="Tekstpodstawowyba"/>
        <w:tabs>
          <w:tab w:val="right" w:pos="426"/>
          <w:tab w:val="right" w:pos="8788"/>
        </w:tabs>
        <w:spacing w:line="240" w:lineRule="auto"/>
        <w:ind w:left="360"/>
        <w:jc w:val="left"/>
        <w:rPr>
          <w:noProof/>
          <w:sz w:val="16"/>
          <w:szCs w:val="16"/>
        </w:rPr>
      </w:pPr>
    </w:p>
    <w:sectPr w:rsidR="00FD4F78" w:rsidRPr="002977CB" w:rsidSect="003C376D">
      <w:headerReference w:type="even" r:id="rId13"/>
      <w:headerReference w:type="default" r:id="rId14"/>
      <w:footerReference w:type="even" r:id="rId15"/>
      <w:footerReference w:type="default" r:id="rId16"/>
      <w:headerReference w:type="first" r:id="rId17"/>
      <w:footerReference w:type="first" r:id="rId18"/>
      <w:footnotePr>
        <w:pos w:val="beneathText"/>
        <w:numFmt w:val="chicago"/>
      </w:footnotePr>
      <w:pgSz w:w="11907" w:h="16840" w:code="9"/>
      <w:pgMar w:top="1985" w:right="1134" w:bottom="1985" w:left="1134" w:header="1418" w:footer="1418"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B13" w:rsidRDefault="003C0B13">
      <w:r>
        <w:separator/>
      </w:r>
    </w:p>
  </w:endnote>
  <w:endnote w:type="continuationSeparator" w:id="0">
    <w:p w:rsidR="003C0B13" w:rsidRDefault="003C0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żyj czcionki tekstu azjatyck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4A" w:rsidRDefault="00E0274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4A" w:rsidRPr="001342F9" w:rsidRDefault="00E0274A" w:rsidP="00DA7392">
    <w:pPr>
      <w:pStyle w:val="Stopka"/>
      <w:tabs>
        <w:tab w:val="clear" w:pos="4320"/>
        <w:tab w:val="clear" w:pos="8640"/>
        <w:tab w:val="right" w:pos="9639"/>
      </w:tabs>
      <w:rPr>
        <w:rFonts w:ascii="Times New Roman" w:hAnsi="Times New Roman"/>
      </w:rPr>
    </w:pPr>
    <w:r>
      <w:rPr>
        <w:rFonts w:ascii="Times New Roman" w:hAnsi="Times New Roman"/>
      </w:rPr>
      <w:t>http://www.photonics.pl/PLP</w:t>
    </w:r>
    <w:r>
      <w:rPr>
        <w:rFonts w:ascii="Times New Roman" w:hAnsi="Times New Roman"/>
      </w:rPr>
      <w:tab/>
    </w:r>
    <w:r w:rsidRPr="001342F9">
      <w:rPr>
        <w:rFonts w:ascii="Times New Roman" w:hAnsi="Times New Roman"/>
      </w:rPr>
      <w:t xml:space="preserve">© </w:t>
    </w:r>
    <w:r>
      <w:rPr>
        <w:rFonts w:ascii="Times New Roman" w:hAnsi="Times New Roman"/>
      </w:rPr>
      <w:t xml:space="preserve">2009 </w:t>
    </w:r>
    <w:r w:rsidRPr="001342F9">
      <w:rPr>
        <w:rFonts w:ascii="Times New Roman" w:hAnsi="Times New Roman"/>
      </w:rPr>
      <w:t>Photonics Soc</w:t>
    </w:r>
    <w:r>
      <w:rPr>
        <w:rFonts w:ascii="Times New Roman" w:hAnsi="Times New Roman"/>
      </w:rPr>
      <w:t>i</w:t>
    </w:r>
    <w:r w:rsidRPr="001342F9">
      <w:rPr>
        <w:rFonts w:ascii="Times New Roman" w:hAnsi="Times New Roman"/>
      </w:rPr>
      <w:t xml:space="preserve">ety of </w:t>
    </w:r>
    <w:smartTag w:uri="urn:schemas-microsoft-com:office:smarttags" w:element="country-region">
      <w:smartTag w:uri="urn:schemas-microsoft-com:office:smarttags" w:element="place">
        <w:r w:rsidRPr="001342F9">
          <w:rPr>
            <w:rFonts w:ascii="Times New Roman" w:hAnsi="Times New Roman"/>
          </w:rPr>
          <w:t>Poland</w:t>
        </w:r>
      </w:smartTag>
    </w:smartTag>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4A" w:rsidRDefault="00E0274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B13" w:rsidRDefault="003C0B13"/>
  </w:footnote>
  <w:footnote w:type="continuationSeparator" w:id="0">
    <w:p w:rsidR="003C0B13" w:rsidRDefault="003C0B13">
      <w:r>
        <w:continuationSeparator/>
      </w:r>
    </w:p>
  </w:footnote>
  <w:footnote w:id="1">
    <w:p w:rsidR="00E0274A" w:rsidRPr="00EA1194" w:rsidRDefault="00E0274A" w:rsidP="00330CF3">
      <w:pPr>
        <w:pStyle w:val="Tekstprzypisudolnego"/>
        <w:rPr>
          <w:rFonts w:ascii="Times New Roman" w:hAnsi="Times New Roman"/>
          <w:lang w:val="it-IT"/>
        </w:rPr>
      </w:pPr>
      <w:r>
        <w:rPr>
          <w:rStyle w:val="Odwoanieprzypisudolnego"/>
        </w:rPr>
        <w:footnoteRef/>
      </w:r>
      <w:r w:rsidRPr="00EA1194">
        <w:rPr>
          <w:lang w:val="it-IT"/>
        </w:rPr>
        <w:t xml:space="preserve"> </w:t>
      </w:r>
      <w:r w:rsidRPr="00EA1194">
        <w:rPr>
          <w:rFonts w:ascii="Times New Roman" w:hAnsi="Times New Roman"/>
          <w:lang w:val="it-IT"/>
        </w:rPr>
        <w:t xml:space="preserve">E-mail: </w:t>
      </w:r>
      <w:r>
        <w:rPr>
          <w:rFonts w:ascii="Times New Roman" w:hAnsi="Times New Roman"/>
          <w:lang w:val="it-IT"/>
        </w:rPr>
        <w:t>malwina</w:t>
      </w:r>
      <w:r w:rsidRPr="00EA1194">
        <w:rPr>
          <w:rFonts w:ascii="Times New Roman" w:hAnsi="Times New Roman"/>
          <w:lang w:val="it-IT"/>
        </w:rPr>
        <w:t>.</w:t>
      </w:r>
      <w:r>
        <w:rPr>
          <w:rFonts w:ascii="Times New Roman" w:hAnsi="Times New Roman"/>
          <w:lang w:val="it-IT"/>
        </w:rPr>
        <w:t>geniusz</w:t>
      </w:r>
      <w:r w:rsidRPr="00EA1194">
        <w:rPr>
          <w:rFonts w:ascii="Times New Roman" w:hAnsi="Times New Roman"/>
          <w:lang w:val="it-IT"/>
        </w:rPr>
        <w:t>@</w:t>
      </w:r>
      <w:r>
        <w:rPr>
          <w:rFonts w:ascii="Times New Roman" w:hAnsi="Times New Roman"/>
          <w:lang w:val="it-IT"/>
        </w:rPr>
        <w:t>pwr.edu.</w:t>
      </w:r>
      <w:r w:rsidRPr="00EA1194">
        <w:rPr>
          <w:rFonts w:ascii="Times New Roman" w:hAnsi="Times New Roman"/>
          <w:lang w:val="it-IT"/>
        </w:rPr>
        <w:t>pl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4A" w:rsidRDefault="00E0274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4A" w:rsidRPr="00DA7392" w:rsidRDefault="00E7004A">
    <w:pPr>
      <w:framePr w:wrap="auto" w:vAnchor="text" w:hAnchor="margin" w:xAlign="right" w:y="1"/>
      <w:rPr>
        <w:b/>
      </w:rPr>
    </w:pPr>
    <w:r w:rsidRPr="00DA7392">
      <w:rPr>
        <w:b/>
      </w:rPr>
      <w:fldChar w:fldCharType="begin"/>
    </w:r>
    <w:r w:rsidR="00E0274A" w:rsidRPr="00DA7392">
      <w:rPr>
        <w:b/>
      </w:rPr>
      <w:instrText xml:space="preserve">PAGE  </w:instrText>
    </w:r>
    <w:r w:rsidRPr="00DA7392">
      <w:rPr>
        <w:b/>
      </w:rPr>
      <w:fldChar w:fldCharType="separate"/>
    </w:r>
    <w:r w:rsidR="00E415E1">
      <w:rPr>
        <w:b/>
        <w:noProof/>
      </w:rPr>
      <w:t>1</w:t>
    </w:r>
    <w:r w:rsidRPr="00DA7392">
      <w:rPr>
        <w:b/>
      </w:rPr>
      <w:fldChar w:fldCharType="end"/>
    </w:r>
  </w:p>
  <w:p w:rsidR="00E0274A" w:rsidRPr="0007554E" w:rsidRDefault="00E0274A" w:rsidP="00833270">
    <w:pPr>
      <w:pBdr>
        <w:bottom w:val="single" w:sz="4" w:space="1" w:color="auto"/>
      </w:pBdr>
      <w:tabs>
        <w:tab w:val="center" w:pos="4820"/>
      </w:tabs>
      <w:rPr>
        <w:rFonts w:ascii="Times New Roman" w:hAnsi="Times New Roman"/>
        <w:smallCaps/>
      </w:rPr>
    </w:pPr>
    <w:proofErr w:type="spellStart"/>
    <w:r>
      <w:rPr>
        <w:sz w:val="16"/>
        <w:szCs w:val="16"/>
      </w:rPr>
      <w:t>doi</w:t>
    </w:r>
    <w:proofErr w:type="spellEnd"/>
    <w:r>
      <w:rPr>
        <w:sz w:val="16"/>
        <w:szCs w:val="16"/>
      </w:rPr>
      <w:t>: 10.4302/plp.2010.1.xx</w:t>
    </w:r>
    <w:r>
      <w:rPr>
        <w:rFonts w:ascii="Times New Roman" w:hAnsi="Times New Roman"/>
        <w:smallCaps/>
      </w:rPr>
      <w:tab/>
    </w:r>
    <w:r w:rsidRPr="00B47B1C">
      <w:rPr>
        <w:rFonts w:ascii="Times New Roman" w:hAnsi="Times New Roman"/>
        <w:smallCaps/>
      </w:rPr>
      <w:t xml:space="preserve">Photonics Letters of </w:t>
    </w:r>
    <w:smartTag w:uri="urn:schemas-microsoft-com:office:smarttags" w:element="country-region">
      <w:smartTag w:uri="urn:schemas-microsoft-com:office:smarttags" w:element="place">
        <w:r w:rsidRPr="00B47B1C">
          <w:rPr>
            <w:rFonts w:ascii="Times New Roman" w:hAnsi="Times New Roman"/>
            <w:smallCaps/>
          </w:rPr>
          <w:t>Poland</w:t>
        </w:r>
      </w:smartTag>
    </w:smartTag>
    <w:r>
      <w:rPr>
        <w:rFonts w:ascii="Times New Roman" w:hAnsi="Times New Roman"/>
        <w:smallCaps/>
      </w:rPr>
      <w:t xml:space="preserve">, vol. </w:t>
    </w:r>
    <w:r>
      <w:rPr>
        <w:rFonts w:ascii="Times New Roman" w:hAnsi="Times New Roman"/>
        <w:b/>
        <w:smallCaps/>
      </w:rPr>
      <w:t>2</w:t>
    </w:r>
    <w:r>
      <w:rPr>
        <w:rFonts w:ascii="Times New Roman" w:hAnsi="Times New Roman"/>
        <w:smallCaps/>
      </w:rPr>
      <w:t xml:space="preserve"> (1), xx</w:t>
    </w:r>
    <w:r>
      <w:rPr>
        <w:rFonts w:ascii="Times New Roman" w:hAnsi="Times New Roman"/>
        <w:smallCaps/>
      </w:rPr>
      <w:noBreakHyphen/>
      <w:t>xx (2010)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4A" w:rsidRDefault="00E0274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Nagwek1"/>
      <w:lvlText w:val="%1."/>
      <w:legacy w:legacy="1" w:legacySpace="144" w:legacyIndent="144"/>
      <w:lvlJc w:val="left"/>
    </w:lvl>
    <w:lvl w:ilvl="1">
      <w:start w:val="1"/>
      <w:numFmt w:val="upperLetter"/>
      <w:pStyle w:val="Nagwek2"/>
      <w:lvlText w:val="%2."/>
      <w:legacy w:legacy="1" w:legacySpace="144" w:legacyIndent="144"/>
      <w:lvlJc w:val="left"/>
    </w:lvl>
    <w:lvl w:ilvl="2">
      <w:start w:val="1"/>
      <w:numFmt w:val="decimal"/>
      <w:pStyle w:val="Nagwek3"/>
      <w:lvlText w:val="%3)"/>
      <w:legacy w:legacy="1" w:legacySpace="144" w:legacyIndent="144"/>
      <w:lvlJc w:val="left"/>
    </w:lvl>
    <w:lvl w:ilvl="3">
      <w:start w:val="1"/>
      <w:numFmt w:val="lowerLetter"/>
      <w:pStyle w:val="Nagwek4"/>
      <w:lvlText w:val="%4)"/>
      <w:legacy w:legacy="1" w:legacySpace="0" w:legacyIndent="720"/>
      <w:lvlJc w:val="left"/>
      <w:pPr>
        <w:ind w:left="1152" w:hanging="720"/>
      </w:pPr>
    </w:lvl>
    <w:lvl w:ilvl="4">
      <w:start w:val="1"/>
      <w:numFmt w:val="decimal"/>
      <w:pStyle w:val="Nagwek5"/>
      <w:lvlText w:val="(%5)"/>
      <w:legacy w:legacy="1" w:legacySpace="0" w:legacyIndent="720"/>
      <w:lvlJc w:val="left"/>
      <w:pPr>
        <w:ind w:left="1872" w:hanging="720"/>
      </w:pPr>
    </w:lvl>
    <w:lvl w:ilvl="5">
      <w:start w:val="1"/>
      <w:numFmt w:val="lowerLetter"/>
      <w:pStyle w:val="Nagwek6"/>
      <w:lvlText w:val="(%6)"/>
      <w:legacy w:legacy="1" w:legacySpace="0" w:legacyIndent="720"/>
      <w:lvlJc w:val="left"/>
      <w:pPr>
        <w:ind w:left="2592" w:hanging="720"/>
      </w:pPr>
    </w:lvl>
    <w:lvl w:ilvl="6">
      <w:start w:val="1"/>
      <w:numFmt w:val="lowerRoman"/>
      <w:pStyle w:val="Nagwek7"/>
      <w:lvlText w:val="(%7)"/>
      <w:legacy w:legacy="1" w:legacySpace="0" w:legacyIndent="720"/>
      <w:lvlJc w:val="left"/>
      <w:pPr>
        <w:ind w:left="3312" w:hanging="720"/>
      </w:pPr>
    </w:lvl>
    <w:lvl w:ilvl="7">
      <w:start w:val="1"/>
      <w:numFmt w:val="lowerLetter"/>
      <w:pStyle w:val="Nagwek8"/>
      <w:lvlText w:val="(%8)"/>
      <w:legacy w:legacy="1" w:legacySpace="0" w:legacyIndent="720"/>
      <w:lvlJc w:val="left"/>
      <w:pPr>
        <w:ind w:left="4032" w:hanging="720"/>
      </w:pPr>
    </w:lvl>
    <w:lvl w:ilvl="8">
      <w:start w:val="1"/>
      <w:numFmt w:val="lowerRoman"/>
      <w:pStyle w:val="Nagwek9"/>
      <w:lvlText w:val="(%9)"/>
      <w:legacy w:legacy="1" w:legacySpace="0" w:legacyIndent="720"/>
      <w:lvlJc w:val="left"/>
      <w:pPr>
        <w:ind w:left="4752" w:hanging="720"/>
      </w:pPr>
    </w:lvl>
  </w:abstractNum>
  <w:abstractNum w:abstractNumId="1">
    <w:nsid w:val="06DA074F"/>
    <w:multiLevelType w:val="hybridMultilevel"/>
    <w:tmpl w:val="9FA27F92"/>
    <w:lvl w:ilvl="0" w:tplc="F468CEEA">
      <w:start w:val="1"/>
      <w:numFmt w:val="decimal"/>
      <w:pStyle w:val="header1"/>
      <w:lvlText w:val="%1."/>
      <w:lvlJc w:val="left"/>
      <w:pPr>
        <w:tabs>
          <w:tab w:val="num" w:pos="502"/>
        </w:tabs>
        <w:ind w:left="502" w:hanging="360"/>
      </w:pPr>
      <w:rPr>
        <w:rFonts w:hint="default"/>
      </w:rPr>
    </w:lvl>
    <w:lvl w:ilvl="1" w:tplc="3B92A7E4">
      <w:start w:val="1"/>
      <w:numFmt w:val="upperLetter"/>
      <w:pStyle w:val="header2"/>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AB12C04"/>
    <w:multiLevelType w:val="singleLevel"/>
    <w:tmpl w:val="A4862722"/>
    <w:lvl w:ilvl="0">
      <w:start w:val="1"/>
      <w:numFmt w:val="bullet"/>
      <w:lvlText w:val=""/>
      <w:lvlJc w:val="left"/>
      <w:pPr>
        <w:tabs>
          <w:tab w:val="num" w:pos="530"/>
        </w:tabs>
        <w:ind w:left="510" w:hanging="340"/>
      </w:pPr>
      <w:rPr>
        <w:rFonts w:ascii="Symbol" w:hAnsi="Symbol" w:hint="default"/>
      </w:rPr>
    </w:lvl>
  </w:abstractNum>
  <w:abstractNum w:abstractNumId="3">
    <w:nsid w:val="1B0B1D66"/>
    <w:multiLevelType w:val="singleLevel"/>
    <w:tmpl w:val="0BEC9FB0"/>
    <w:lvl w:ilvl="0">
      <w:start w:val="1"/>
      <w:numFmt w:val="none"/>
      <w:lvlText w:val=""/>
      <w:legacy w:legacy="1" w:legacySpace="0" w:legacyIndent="0"/>
      <w:lvlJc w:val="left"/>
      <w:pPr>
        <w:ind w:left="288"/>
      </w:pPr>
    </w:lvl>
  </w:abstractNum>
  <w:abstractNum w:abstractNumId="4">
    <w:nsid w:val="2517274C"/>
    <w:multiLevelType w:val="singleLevel"/>
    <w:tmpl w:val="04090011"/>
    <w:lvl w:ilvl="0">
      <w:start w:val="1"/>
      <w:numFmt w:val="decimal"/>
      <w:lvlText w:val="%1)"/>
      <w:lvlJc w:val="left"/>
      <w:pPr>
        <w:tabs>
          <w:tab w:val="num" w:pos="360"/>
        </w:tabs>
        <w:ind w:left="360" w:hanging="360"/>
      </w:pPr>
    </w:lvl>
  </w:abstractNum>
  <w:abstractNum w:abstractNumId="5">
    <w:nsid w:val="2D234D8B"/>
    <w:multiLevelType w:val="singleLevel"/>
    <w:tmpl w:val="0409000F"/>
    <w:lvl w:ilvl="0">
      <w:start w:val="1"/>
      <w:numFmt w:val="decimal"/>
      <w:lvlText w:val="%1."/>
      <w:lvlJc w:val="left"/>
      <w:pPr>
        <w:tabs>
          <w:tab w:val="num" w:pos="360"/>
        </w:tabs>
        <w:ind w:left="360" w:hanging="360"/>
      </w:pPr>
    </w:lvl>
  </w:abstractNum>
  <w:abstractNum w:abstractNumId="6">
    <w:nsid w:val="2F8B23F8"/>
    <w:multiLevelType w:val="singleLevel"/>
    <w:tmpl w:val="12CEED98"/>
    <w:lvl w:ilvl="0">
      <w:start w:val="1"/>
      <w:numFmt w:val="decimal"/>
      <w:lvlText w:val="%1."/>
      <w:legacy w:legacy="1" w:legacySpace="0" w:legacyIndent="360"/>
      <w:lvlJc w:val="left"/>
      <w:pPr>
        <w:ind w:left="360" w:hanging="360"/>
      </w:p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3AAC1CFC"/>
    <w:multiLevelType w:val="singleLevel"/>
    <w:tmpl w:val="3A8EC28E"/>
    <w:lvl w:ilvl="0">
      <w:start w:val="1"/>
      <w:numFmt w:val="decimal"/>
      <w:lvlText w:val="[%1]"/>
      <w:lvlJc w:val="left"/>
      <w:pPr>
        <w:tabs>
          <w:tab w:val="num" w:pos="360"/>
        </w:tabs>
        <w:ind w:left="360" w:hanging="360"/>
      </w:pPr>
    </w:lvl>
  </w:abstractNum>
  <w:abstractNum w:abstractNumId="9">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nsid w:val="4D0B59CF"/>
    <w:multiLevelType w:val="singleLevel"/>
    <w:tmpl w:val="4A4223A6"/>
    <w:lvl w:ilvl="0">
      <w:start w:val="1"/>
      <w:numFmt w:val="decimal"/>
      <w:lvlText w:val="%1."/>
      <w:legacy w:legacy="1" w:legacySpace="0" w:legacyIndent="360"/>
      <w:lvlJc w:val="left"/>
      <w:pPr>
        <w:ind w:left="360" w:hanging="360"/>
      </w:pPr>
    </w:lvl>
  </w:abstractNum>
  <w:abstractNum w:abstractNumId="11">
    <w:nsid w:val="55630736"/>
    <w:multiLevelType w:val="singleLevel"/>
    <w:tmpl w:val="0BEC9FB0"/>
    <w:lvl w:ilvl="0">
      <w:start w:val="1"/>
      <w:numFmt w:val="none"/>
      <w:lvlText w:val=""/>
      <w:legacy w:legacy="1" w:legacySpace="0" w:legacyIndent="0"/>
      <w:lvlJc w:val="left"/>
      <w:pPr>
        <w:ind w:left="288"/>
      </w:pPr>
    </w:lvl>
  </w:abstractNum>
  <w:abstractNum w:abstractNumId="12">
    <w:nsid w:val="6DC3293B"/>
    <w:multiLevelType w:val="singleLevel"/>
    <w:tmpl w:val="3A8EC28E"/>
    <w:lvl w:ilvl="0">
      <w:start w:val="1"/>
      <w:numFmt w:val="decimal"/>
      <w:lvlText w:val="[%1]"/>
      <w:lvlJc w:val="left"/>
      <w:pPr>
        <w:tabs>
          <w:tab w:val="num" w:pos="360"/>
        </w:tabs>
        <w:ind w:left="360" w:hanging="360"/>
      </w:pPr>
    </w:lvl>
  </w:abstractNum>
  <w:abstractNum w:abstractNumId="13">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6"/>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7"/>
  </w:num>
  <w:num w:numId="13">
    <w:abstractNumId w:val="3"/>
  </w:num>
  <w:num w:numId="14">
    <w:abstractNumId w:val="11"/>
  </w:num>
  <w:num w:numId="15">
    <w:abstractNumId w:val="10"/>
  </w:num>
  <w:num w:numId="16">
    <w:abstractNumId w:val="13"/>
  </w:num>
  <w:num w:numId="17">
    <w:abstractNumId w:val="5"/>
  </w:num>
  <w:num w:numId="18">
    <w:abstractNumId w:val="4"/>
  </w:num>
  <w:num w:numId="19">
    <w:abstractNumId w:val="12"/>
  </w:num>
  <w:num w:numId="20">
    <w:abstractNumId w:val="8"/>
  </w:num>
  <w:num w:numId="21">
    <w:abstractNumId w:val="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pos w:val="beneathText"/>
    <w:numFmt w:val="chicago"/>
    <w:footnote w:id="-1"/>
    <w:footnote w:id="0"/>
  </w:footnotePr>
  <w:endnotePr>
    <w:endnote w:id="-1"/>
    <w:endnote w:id="0"/>
  </w:endnotePr>
  <w:compat/>
  <w:rsids>
    <w:rsidRoot w:val="0091035B"/>
    <w:rsid w:val="00002962"/>
    <w:rsid w:val="00011120"/>
    <w:rsid w:val="00011F13"/>
    <w:rsid w:val="00032331"/>
    <w:rsid w:val="0003557E"/>
    <w:rsid w:val="0004683B"/>
    <w:rsid w:val="00047FD9"/>
    <w:rsid w:val="00051813"/>
    <w:rsid w:val="00052092"/>
    <w:rsid w:val="00061187"/>
    <w:rsid w:val="000617BC"/>
    <w:rsid w:val="000723E4"/>
    <w:rsid w:val="000749FC"/>
    <w:rsid w:val="0007554E"/>
    <w:rsid w:val="000824F6"/>
    <w:rsid w:val="00084947"/>
    <w:rsid w:val="000F1FCA"/>
    <w:rsid w:val="000F5D91"/>
    <w:rsid w:val="001038E1"/>
    <w:rsid w:val="001078BD"/>
    <w:rsid w:val="001143CC"/>
    <w:rsid w:val="0011588C"/>
    <w:rsid w:val="00132434"/>
    <w:rsid w:val="00132B9F"/>
    <w:rsid w:val="001342F9"/>
    <w:rsid w:val="00135343"/>
    <w:rsid w:val="00144E72"/>
    <w:rsid w:val="00146CAD"/>
    <w:rsid w:val="00151920"/>
    <w:rsid w:val="00164C88"/>
    <w:rsid w:val="001749FE"/>
    <w:rsid w:val="00180A40"/>
    <w:rsid w:val="00195BB1"/>
    <w:rsid w:val="00197EE6"/>
    <w:rsid w:val="001B151C"/>
    <w:rsid w:val="001C2631"/>
    <w:rsid w:val="001D1136"/>
    <w:rsid w:val="001D1B64"/>
    <w:rsid w:val="001F5E25"/>
    <w:rsid w:val="002012B3"/>
    <w:rsid w:val="00201F9C"/>
    <w:rsid w:val="0020462C"/>
    <w:rsid w:val="00205635"/>
    <w:rsid w:val="00210B95"/>
    <w:rsid w:val="00240F3D"/>
    <w:rsid w:val="002434A1"/>
    <w:rsid w:val="00244D94"/>
    <w:rsid w:val="00253765"/>
    <w:rsid w:val="00263589"/>
    <w:rsid w:val="00263600"/>
    <w:rsid w:val="002663AE"/>
    <w:rsid w:val="00273307"/>
    <w:rsid w:val="002977CB"/>
    <w:rsid w:val="002D623F"/>
    <w:rsid w:val="002E0ADE"/>
    <w:rsid w:val="002F1DED"/>
    <w:rsid w:val="0030143E"/>
    <w:rsid w:val="00330CF3"/>
    <w:rsid w:val="00340AE2"/>
    <w:rsid w:val="00360269"/>
    <w:rsid w:val="00371A80"/>
    <w:rsid w:val="003C0B13"/>
    <w:rsid w:val="003C376D"/>
    <w:rsid w:val="003C60B3"/>
    <w:rsid w:val="003E21E8"/>
    <w:rsid w:val="003F4F74"/>
    <w:rsid w:val="004001B3"/>
    <w:rsid w:val="004035DC"/>
    <w:rsid w:val="0040465C"/>
    <w:rsid w:val="004058FA"/>
    <w:rsid w:val="0043144F"/>
    <w:rsid w:val="00431BFA"/>
    <w:rsid w:val="00434F74"/>
    <w:rsid w:val="004468E1"/>
    <w:rsid w:val="00460451"/>
    <w:rsid w:val="004619F9"/>
    <w:rsid w:val="004631BC"/>
    <w:rsid w:val="0047261F"/>
    <w:rsid w:val="00490F66"/>
    <w:rsid w:val="00491269"/>
    <w:rsid w:val="004A2788"/>
    <w:rsid w:val="004C0308"/>
    <w:rsid w:val="004C1E16"/>
    <w:rsid w:val="004C57D9"/>
    <w:rsid w:val="00507ABD"/>
    <w:rsid w:val="0051360D"/>
    <w:rsid w:val="0051476F"/>
    <w:rsid w:val="0052360C"/>
    <w:rsid w:val="005434D9"/>
    <w:rsid w:val="005515EB"/>
    <w:rsid w:val="00564FEA"/>
    <w:rsid w:val="005663F1"/>
    <w:rsid w:val="00577EAB"/>
    <w:rsid w:val="00581851"/>
    <w:rsid w:val="005854E7"/>
    <w:rsid w:val="00595819"/>
    <w:rsid w:val="005A2A15"/>
    <w:rsid w:val="005A678A"/>
    <w:rsid w:val="005C3DDE"/>
    <w:rsid w:val="005C504F"/>
    <w:rsid w:val="005D348E"/>
    <w:rsid w:val="005D61D8"/>
    <w:rsid w:val="005D6435"/>
    <w:rsid w:val="005D7362"/>
    <w:rsid w:val="00620D38"/>
    <w:rsid w:val="00622942"/>
    <w:rsid w:val="00625E96"/>
    <w:rsid w:val="00637EB6"/>
    <w:rsid w:val="0064141D"/>
    <w:rsid w:val="006427EE"/>
    <w:rsid w:val="00652DB4"/>
    <w:rsid w:val="00661685"/>
    <w:rsid w:val="00677FAC"/>
    <w:rsid w:val="00692513"/>
    <w:rsid w:val="006E7877"/>
    <w:rsid w:val="00700359"/>
    <w:rsid w:val="00722678"/>
    <w:rsid w:val="00724BD6"/>
    <w:rsid w:val="007313B4"/>
    <w:rsid w:val="0073761F"/>
    <w:rsid w:val="00740C7A"/>
    <w:rsid w:val="00740F0D"/>
    <w:rsid w:val="0074443E"/>
    <w:rsid w:val="007456D7"/>
    <w:rsid w:val="00747229"/>
    <w:rsid w:val="00771914"/>
    <w:rsid w:val="0077484E"/>
    <w:rsid w:val="0077676F"/>
    <w:rsid w:val="00796F5B"/>
    <w:rsid w:val="00797C81"/>
    <w:rsid w:val="007B0DED"/>
    <w:rsid w:val="007C4336"/>
    <w:rsid w:val="007D75F4"/>
    <w:rsid w:val="007F5B8C"/>
    <w:rsid w:val="0080198E"/>
    <w:rsid w:val="00832C26"/>
    <w:rsid w:val="00833270"/>
    <w:rsid w:val="0084378F"/>
    <w:rsid w:val="0087792E"/>
    <w:rsid w:val="00890293"/>
    <w:rsid w:val="008A325C"/>
    <w:rsid w:val="008A53C0"/>
    <w:rsid w:val="008A7FE8"/>
    <w:rsid w:val="008B2E3F"/>
    <w:rsid w:val="008E37A0"/>
    <w:rsid w:val="008E5F9B"/>
    <w:rsid w:val="00903699"/>
    <w:rsid w:val="0091035B"/>
    <w:rsid w:val="0091157C"/>
    <w:rsid w:val="009178B7"/>
    <w:rsid w:val="009258DB"/>
    <w:rsid w:val="00926D1F"/>
    <w:rsid w:val="00993CB5"/>
    <w:rsid w:val="009D00A2"/>
    <w:rsid w:val="009D26E6"/>
    <w:rsid w:val="009F0D1A"/>
    <w:rsid w:val="009F794C"/>
    <w:rsid w:val="00A12235"/>
    <w:rsid w:val="00A3477B"/>
    <w:rsid w:val="00A51006"/>
    <w:rsid w:val="00A51AF4"/>
    <w:rsid w:val="00A57EAD"/>
    <w:rsid w:val="00A83064"/>
    <w:rsid w:val="00AA1D17"/>
    <w:rsid w:val="00AA3284"/>
    <w:rsid w:val="00AA64DF"/>
    <w:rsid w:val="00AA79C0"/>
    <w:rsid w:val="00B20BA1"/>
    <w:rsid w:val="00B27241"/>
    <w:rsid w:val="00B272F8"/>
    <w:rsid w:val="00B32CA8"/>
    <w:rsid w:val="00B47B1C"/>
    <w:rsid w:val="00B52E36"/>
    <w:rsid w:val="00B64701"/>
    <w:rsid w:val="00B766A4"/>
    <w:rsid w:val="00BA1F3B"/>
    <w:rsid w:val="00BA4150"/>
    <w:rsid w:val="00BA7BD6"/>
    <w:rsid w:val="00BB3E83"/>
    <w:rsid w:val="00BF36F6"/>
    <w:rsid w:val="00C11D43"/>
    <w:rsid w:val="00C179E1"/>
    <w:rsid w:val="00C45AD2"/>
    <w:rsid w:val="00C46EA4"/>
    <w:rsid w:val="00C51936"/>
    <w:rsid w:val="00C552E2"/>
    <w:rsid w:val="00C63999"/>
    <w:rsid w:val="00C66349"/>
    <w:rsid w:val="00C67116"/>
    <w:rsid w:val="00C671F8"/>
    <w:rsid w:val="00CB4B0B"/>
    <w:rsid w:val="00CB4B8D"/>
    <w:rsid w:val="00CB66FB"/>
    <w:rsid w:val="00D00E55"/>
    <w:rsid w:val="00D07C87"/>
    <w:rsid w:val="00D15690"/>
    <w:rsid w:val="00D247A0"/>
    <w:rsid w:val="00D2542F"/>
    <w:rsid w:val="00D40C1B"/>
    <w:rsid w:val="00D56935"/>
    <w:rsid w:val="00D5756A"/>
    <w:rsid w:val="00D7059A"/>
    <w:rsid w:val="00D758C6"/>
    <w:rsid w:val="00D87350"/>
    <w:rsid w:val="00DA7392"/>
    <w:rsid w:val="00DB4E72"/>
    <w:rsid w:val="00DE2876"/>
    <w:rsid w:val="00DF2DDE"/>
    <w:rsid w:val="00DF7C82"/>
    <w:rsid w:val="00E0274A"/>
    <w:rsid w:val="00E2182A"/>
    <w:rsid w:val="00E224A2"/>
    <w:rsid w:val="00E30EE8"/>
    <w:rsid w:val="00E40581"/>
    <w:rsid w:val="00E415E1"/>
    <w:rsid w:val="00E50DF6"/>
    <w:rsid w:val="00E60632"/>
    <w:rsid w:val="00E6333B"/>
    <w:rsid w:val="00E6560A"/>
    <w:rsid w:val="00E7004A"/>
    <w:rsid w:val="00E71984"/>
    <w:rsid w:val="00E75FC8"/>
    <w:rsid w:val="00E97402"/>
    <w:rsid w:val="00EA1194"/>
    <w:rsid w:val="00EB2BBF"/>
    <w:rsid w:val="00EB41A0"/>
    <w:rsid w:val="00EC0766"/>
    <w:rsid w:val="00EC1971"/>
    <w:rsid w:val="00ED266B"/>
    <w:rsid w:val="00ED54E2"/>
    <w:rsid w:val="00F04180"/>
    <w:rsid w:val="00F112C3"/>
    <w:rsid w:val="00F1486A"/>
    <w:rsid w:val="00F16C10"/>
    <w:rsid w:val="00F27F02"/>
    <w:rsid w:val="00F30861"/>
    <w:rsid w:val="00F337C6"/>
    <w:rsid w:val="00F34143"/>
    <w:rsid w:val="00F4515B"/>
    <w:rsid w:val="00F65266"/>
    <w:rsid w:val="00F67E8D"/>
    <w:rsid w:val="00F8121D"/>
    <w:rsid w:val="00F86E87"/>
    <w:rsid w:val="00F9179F"/>
    <w:rsid w:val="00F93BAA"/>
    <w:rsid w:val="00F94440"/>
    <w:rsid w:val="00F96764"/>
    <w:rsid w:val="00FA28D5"/>
    <w:rsid w:val="00FA3C76"/>
    <w:rsid w:val="00FD4F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7BD6"/>
    <w:pPr>
      <w:autoSpaceDE w:val="0"/>
      <w:autoSpaceDN w:val="0"/>
    </w:pPr>
    <w:rPr>
      <w:rFonts w:ascii="(Użyj czcionki tekstu azjatycki" w:hAnsi="(Użyj czcionki tekstu azjatycki"/>
      <w:lang w:val="en-US" w:eastAsia="en-US"/>
    </w:rPr>
  </w:style>
  <w:style w:type="paragraph" w:styleId="Nagwek1">
    <w:name w:val="heading 1"/>
    <w:basedOn w:val="Normalny"/>
    <w:next w:val="Normalny"/>
    <w:qFormat/>
    <w:rsid w:val="00BA7BD6"/>
    <w:pPr>
      <w:keepNext/>
      <w:numPr>
        <w:numId w:val="1"/>
      </w:numPr>
      <w:spacing w:before="240" w:after="80"/>
      <w:jc w:val="center"/>
      <w:outlineLvl w:val="0"/>
    </w:pPr>
    <w:rPr>
      <w:smallCaps/>
      <w:kern w:val="28"/>
    </w:rPr>
  </w:style>
  <w:style w:type="paragraph" w:styleId="Nagwek2">
    <w:name w:val="heading 2"/>
    <w:basedOn w:val="Normalny"/>
    <w:next w:val="Normalny"/>
    <w:qFormat/>
    <w:rsid w:val="00BA7BD6"/>
    <w:pPr>
      <w:keepNext/>
      <w:numPr>
        <w:ilvl w:val="1"/>
        <w:numId w:val="1"/>
      </w:numPr>
      <w:spacing w:before="120" w:after="60"/>
      <w:ind w:left="144"/>
      <w:outlineLvl w:val="1"/>
    </w:pPr>
    <w:rPr>
      <w:i/>
      <w:iCs/>
    </w:rPr>
  </w:style>
  <w:style w:type="paragraph" w:styleId="Nagwek3">
    <w:name w:val="heading 3"/>
    <w:basedOn w:val="Normalny"/>
    <w:next w:val="Normalny"/>
    <w:qFormat/>
    <w:rsid w:val="00BA7BD6"/>
    <w:pPr>
      <w:keepNext/>
      <w:numPr>
        <w:ilvl w:val="2"/>
        <w:numId w:val="1"/>
      </w:numPr>
      <w:ind w:left="288"/>
      <w:outlineLvl w:val="2"/>
    </w:pPr>
    <w:rPr>
      <w:i/>
      <w:iCs/>
    </w:rPr>
  </w:style>
  <w:style w:type="paragraph" w:styleId="Nagwek4">
    <w:name w:val="heading 4"/>
    <w:basedOn w:val="Normalny"/>
    <w:next w:val="Normalny"/>
    <w:qFormat/>
    <w:rsid w:val="00BA7BD6"/>
    <w:pPr>
      <w:keepNext/>
      <w:numPr>
        <w:ilvl w:val="3"/>
        <w:numId w:val="1"/>
      </w:numPr>
      <w:spacing w:before="240" w:after="60"/>
      <w:outlineLvl w:val="3"/>
    </w:pPr>
    <w:rPr>
      <w:i/>
      <w:iCs/>
      <w:sz w:val="18"/>
      <w:szCs w:val="18"/>
    </w:rPr>
  </w:style>
  <w:style w:type="paragraph" w:styleId="Nagwek5">
    <w:name w:val="heading 5"/>
    <w:basedOn w:val="Normalny"/>
    <w:next w:val="Normalny"/>
    <w:qFormat/>
    <w:rsid w:val="00BA7BD6"/>
    <w:pPr>
      <w:numPr>
        <w:ilvl w:val="4"/>
        <w:numId w:val="1"/>
      </w:numPr>
      <w:spacing w:before="240" w:after="60"/>
      <w:outlineLvl w:val="4"/>
    </w:pPr>
    <w:rPr>
      <w:sz w:val="18"/>
      <w:szCs w:val="18"/>
    </w:rPr>
  </w:style>
  <w:style w:type="paragraph" w:styleId="Nagwek6">
    <w:name w:val="heading 6"/>
    <w:basedOn w:val="Normalny"/>
    <w:next w:val="Normalny"/>
    <w:qFormat/>
    <w:rsid w:val="00BA7BD6"/>
    <w:pPr>
      <w:numPr>
        <w:ilvl w:val="5"/>
        <w:numId w:val="1"/>
      </w:numPr>
      <w:spacing w:before="240" w:after="60"/>
      <w:outlineLvl w:val="5"/>
    </w:pPr>
    <w:rPr>
      <w:i/>
      <w:iCs/>
      <w:sz w:val="16"/>
      <w:szCs w:val="16"/>
    </w:rPr>
  </w:style>
  <w:style w:type="paragraph" w:styleId="Nagwek7">
    <w:name w:val="heading 7"/>
    <w:basedOn w:val="Normalny"/>
    <w:next w:val="Normalny"/>
    <w:qFormat/>
    <w:rsid w:val="00BA7BD6"/>
    <w:pPr>
      <w:numPr>
        <w:ilvl w:val="6"/>
        <w:numId w:val="1"/>
      </w:numPr>
      <w:spacing w:before="240" w:after="60"/>
      <w:outlineLvl w:val="6"/>
    </w:pPr>
    <w:rPr>
      <w:sz w:val="16"/>
      <w:szCs w:val="16"/>
    </w:rPr>
  </w:style>
  <w:style w:type="paragraph" w:styleId="Nagwek8">
    <w:name w:val="heading 8"/>
    <w:basedOn w:val="Normalny"/>
    <w:next w:val="Normalny"/>
    <w:qFormat/>
    <w:rsid w:val="00BA7BD6"/>
    <w:pPr>
      <w:numPr>
        <w:ilvl w:val="7"/>
        <w:numId w:val="1"/>
      </w:numPr>
      <w:spacing w:before="240" w:after="60"/>
      <w:outlineLvl w:val="7"/>
    </w:pPr>
    <w:rPr>
      <w:i/>
      <w:iCs/>
      <w:sz w:val="16"/>
      <w:szCs w:val="16"/>
    </w:rPr>
  </w:style>
  <w:style w:type="paragraph" w:styleId="Nagwek9">
    <w:name w:val="heading 9"/>
    <w:basedOn w:val="Normalny"/>
    <w:next w:val="Normalny"/>
    <w:qFormat/>
    <w:rsid w:val="00BA7BD6"/>
    <w:pPr>
      <w:numPr>
        <w:ilvl w:val="8"/>
        <w:numId w:val="1"/>
      </w:numPr>
      <w:spacing w:before="240" w:after="60"/>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stract">
    <w:name w:val="Abstract"/>
    <w:basedOn w:val="Normalny"/>
    <w:next w:val="Normalny"/>
    <w:rsid w:val="00B47B1C"/>
    <w:pPr>
      <w:spacing w:before="20"/>
      <w:ind w:firstLine="202"/>
      <w:jc w:val="both"/>
    </w:pPr>
    <w:rPr>
      <w:bCs/>
    </w:rPr>
  </w:style>
  <w:style w:type="paragraph" w:customStyle="1" w:styleId="Authors">
    <w:name w:val="Authors"/>
    <w:basedOn w:val="Normalny"/>
    <w:next w:val="Normalny"/>
    <w:rsid w:val="00BA7BD6"/>
    <w:pPr>
      <w:framePr w:w="9072" w:hSpace="187" w:vSpace="187" w:wrap="notBeside" w:vAnchor="text" w:hAnchor="page" w:xAlign="center" w:y="1"/>
      <w:spacing w:after="320"/>
      <w:jc w:val="center"/>
    </w:pPr>
    <w:rPr>
      <w:sz w:val="22"/>
      <w:szCs w:val="22"/>
    </w:rPr>
  </w:style>
  <w:style w:type="character" w:customStyle="1" w:styleId="MemberType">
    <w:name w:val="MemberType"/>
    <w:basedOn w:val="Domylnaczcionkaakapitu"/>
    <w:rsid w:val="00BA7BD6"/>
    <w:rPr>
      <w:rFonts w:ascii="Times New Roman" w:hAnsi="Times New Roman" w:cs="Times New Roman"/>
      <w:i/>
      <w:iCs/>
      <w:sz w:val="22"/>
      <w:szCs w:val="22"/>
    </w:rPr>
  </w:style>
  <w:style w:type="paragraph" w:styleId="Tytu">
    <w:name w:val="Title"/>
    <w:basedOn w:val="Normalny"/>
    <w:next w:val="Normalny"/>
    <w:qFormat/>
    <w:rsid w:val="00BA7BD6"/>
    <w:pPr>
      <w:framePr w:w="9360" w:hSpace="187" w:vSpace="187" w:wrap="notBeside" w:vAnchor="text" w:hAnchor="page" w:xAlign="center" w:y="1"/>
      <w:jc w:val="center"/>
    </w:pPr>
    <w:rPr>
      <w:kern w:val="28"/>
      <w:sz w:val="48"/>
      <w:szCs w:val="48"/>
    </w:rPr>
  </w:style>
  <w:style w:type="paragraph" w:styleId="Tekstprzypisudolnego">
    <w:name w:val="footnote text"/>
    <w:basedOn w:val="Normalny"/>
    <w:semiHidden/>
    <w:rsid w:val="00BA7BD6"/>
    <w:pPr>
      <w:ind w:firstLine="202"/>
      <w:jc w:val="both"/>
    </w:pPr>
    <w:rPr>
      <w:sz w:val="16"/>
      <w:szCs w:val="16"/>
    </w:rPr>
  </w:style>
  <w:style w:type="paragraph" w:customStyle="1" w:styleId="References">
    <w:name w:val="References"/>
    <w:basedOn w:val="Normalny"/>
    <w:rsid w:val="00BA7BD6"/>
    <w:pPr>
      <w:numPr>
        <w:numId w:val="12"/>
      </w:numPr>
      <w:jc w:val="both"/>
    </w:pPr>
    <w:rPr>
      <w:sz w:val="16"/>
      <w:szCs w:val="16"/>
    </w:rPr>
  </w:style>
  <w:style w:type="paragraph" w:customStyle="1" w:styleId="IndexTerms">
    <w:name w:val="IndexTerms"/>
    <w:basedOn w:val="Normalny"/>
    <w:next w:val="Normalny"/>
    <w:rsid w:val="00BA7BD6"/>
    <w:pPr>
      <w:ind w:firstLine="202"/>
      <w:jc w:val="both"/>
    </w:pPr>
    <w:rPr>
      <w:b/>
      <w:bCs/>
      <w:sz w:val="18"/>
      <w:szCs w:val="18"/>
    </w:rPr>
  </w:style>
  <w:style w:type="character" w:styleId="Odwoanieprzypisudolnego">
    <w:name w:val="footnote reference"/>
    <w:basedOn w:val="Domylnaczcionkaakapitu"/>
    <w:semiHidden/>
    <w:rsid w:val="00BA7BD6"/>
    <w:rPr>
      <w:vertAlign w:val="superscript"/>
    </w:rPr>
  </w:style>
  <w:style w:type="paragraph" w:styleId="Stopka">
    <w:name w:val="footer"/>
    <w:basedOn w:val="Normalny"/>
    <w:rsid w:val="00BA7BD6"/>
    <w:pPr>
      <w:tabs>
        <w:tab w:val="center" w:pos="4320"/>
        <w:tab w:val="right" w:pos="8640"/>
      </w:tabs>
    </w:pPr>
  </w:style>
  <w:style w:type="paragraph" w:customStyle="1" w:styleId="Text">
    <w:name w:val="Text"/>
    <w:basedOn w:val="Normalny"/>
    <w:rsid w:val="00BA7BD6"/>
    <w:pPr>
      <w:widowControl w:val="0"/>
      <w:spacing w:line="252" w:lineRule="auto"/>
      <w:ind w:firstLine="202"/>
      <w:jc w:val="both"/>
    </w:pPr>
  </w:style>
  <w:style w:type="paragraph" w:customStyle="1" w:styleId="FigureCaption">
    <w:name w:val="Figure Caption"/>
    <w:basedOn w:val="Normalny"/>
    <w:rsid w:val="00BA7BD6"/>
    <w:pPr>
      <w:jc w:val="both"/>
    </w:pPr>
    <w:rPr>
      <w:sz w:val="16"/>
      <w:szCs w:val="16"/>
    </w:rPr>
  </w:style>
  <w:style w:type="paragraph" w:customStyle="1" w:styleId="TableTitle">
    <w:name w:val="Table Title"/>
    <w:basedOn w:val="Normalny"/>
    <w:rsid w:val="00BA7BD6"/>
    <w:pPr>
      <w:jc w:val="center"/>
    </w:pPr>
    <w:rPr>
      <w:smallCaps/>
      <w:sz w:val="16"/>
      <w:szCs w:val="16"/>
    </w:rPr>
  </w:style>
  <w:style w:type="paragraph" w:customStyle="1" w:styleId="ReferenceHead">
    <w:name w:val="Reference Head"/>
    <w:basedOn w:val="Nagwek1"/>
    <w:rsid w:val="00BA7BD6"/>
    <w:pPr>
      <w:numPr>
        <w:numId w:val="0"/>
      </w:numPr>
    </w:pPr>
  </w:style>
  <w:style w:type="paragraph" w:styleId="Nagwek">
    <w:name w:val="header"/>
    <w:basedOn w:val="Normalny"/>
    <w:rsid w:val="00BA7BD6"/>
    <w:pPr>
      <w:tabs>
        <w:tab w:val="center" w:pos="4320"/>
        <w:tab w:val="right" w:pos="8640"/>
      </w:tabs>
    </w:pPr>
  </w:style>
  <w:style w:type="paragraph" w:customStyle="1" w:styleId="Equation">
    <w:name w:val="Equation"/>
    <w:basedOn w:val="Normalny"/>
    <w:next w:val="Normalny"/>
    <w:rsid w:val="00BA7BD6"/>
    <w:pPr>
      <w:widowControl w:val="0"/>
      <w:tabs>
        <w:tab w:val="right" w:pos="5040"/>
      </w:tabs>
      <w:spacing w:line="252" w:lineRule="auto"/>
      <w:jc w:val="both"/>
    </w:pPr>
  </w:style>
  <w:style w:type="character" w:styleId="Hipercze">
    <w:name w:val="Hyperlink"/>
    <w:basedOn w:val="Domylnaczcionkaakapitu"/>
    <w:rsid w:val="00BA7BD6"/>
    <w:rPr>
      <w:color w:val="0000FF"/>
      <w:u w:val="single"/>
    </w:rPr>
  </w:style>
  <w:style w:type="character" w:styleId="UyteHipercze">
    <w:name w:val="FollowedHyperlink"/>
    <w:basedOn w:val="Domylnaczcionkaakapitu"/>
    <w:rsid w:val="00BA7BD6"/>
    <w:rPr>
      <w:color w:val="800080"/>
      <w:u w:val="single"/>
    </w:rPr>
  </w:style>
  <w:style w:type="paragraph" w:styleId="Tekstpodstawowywcity">
    <w:name w:val="Body Text Indent"/>
    <w:basedOn w:val="Normalny"/>
    <w:rsid w:val="00BA7BD6"/>
    <w:pPr>
      <w:ind w:left="630" w:hanging="630"/>
    </w:pPr>
    <w:rPr>
      <w:szCs w:val="24"/>
    </w:rPr>
  </w:style>
  <w:style w:type="paragraph" w:styleId="Plandokumentu">
    <w:name w:val="Document Map"/>
    <w:basedOn w:val="Normalny"/>
    <w:semiHidden/>
    <w:rsid w:val="00DC5FC7"/>
    <w:pPr>
      <w:shd w:val="clear" w:color="auto" w:fill="000080"/>
    </w:pPr>
    <w:rPr>
      <w:rFonts w:ascii="Tahoma" w:hAnsi="Tahoma" w:cs="Tahoma"/>
    </w:rPr>
  </w:style>
  <w:style w:type="paragraph" w:customStyle="1" w:styleId="Pa0">
    <w:name w:val="Pa0"/>
    <w:basedOn w:val="Normalny"/>
    <w:next w:val="Normalny"/>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customStyle="1" w:styleId="equation0">
    <w:name w:val="equation"/>
    <w:basedOn w:val="Normalny"/>
    <w:next w:val="Normalny"/>
    <w:rsid w:val="004A2788"/>
    <w:pPr>
      <w:tabs>
        <w:tab w:val="center" w:pos="4536"/>
        <w:tab w:val="right" w:pos="9072"/>
      </w:tabs>
      <w:autoSpaceDE/>
      <w:autoSpaceDN/>
      <w:spacing w:line="360" w:lineRule="auto"/>
      <w:jc w:val="both"/>
    </w:pPr>
    <w:rPr>
      <w:rFonts w:ascii="Times New Roman" w:hAnsi="Times New Roman"/>
      <w:sz w:val="24"/>
      <w:lang w:val="ru-RU" w:eastAsia="pl-PL"/>
    </w:rPr>
  </w:style>
  <w:style w:type="paragraph" w:customStyle="1" w:styleId="header1">
    <w:name w:val="header  1"/>
    <w:basedOn w:val="Nagwek1"/>
    <w:rsid w:val="004A2788"/>
    <w:pPr>
      <w:numPr>
        <w:numId w:val="22"/>
      </w:numPr>
      <w:autoSpaceDE/>
      <w:autoSpaceDN/>
      <w:spacing w:after="60"/>
      <w:jc w:val="left"/>
    </w:pPr>
    <w:rPr>
      <w:rFonts w:ascii="Times New Roman" w:hAnsi="Times New Roman"/>
      <w:b/>
      <w:smallCaps w:val="0"/>
      <w:lang w:val="en-GB" w:eastAsia="pl-PL"/>
    </w:rPr>
  </w:style>
  <w:style w:type="paragraph" w:customStyle="1" w:styleId="Nagwek10">
    <w:name w:val="Nagłówek1"/>
    <w:basedOn w:val="Normalny"/>
    <w:rsid w:val="004A2788"/>
    <w:pPr>
      <w:keepNext/>
      <w:autoSpaceDE/>
      <w:autoSpaceDN/>
      <w:spacing w:before="240" w:after="60"/>
    </w:pPr>
    <w:rPr>
      <w:rFonts w:ascii="Times New Roman" w:hAnsi="Times New Roman"/>
      <w:b/>
      <w:lang w:val="en-GB" w:eastAsia="pl-PL"/>
    </w:rPr>
  </w:style>
  <w:style w:type="paragraph" w:styleId="Wcicienormalne">
    <w:name w:val="Normal Indent"/>
    <w:basedOn w:val="Normalny"/>
    <w:rsid w:val="004A2788"/>
    <w:pPr>
      <w:autoSpaceDE/>
      <w:autoSpaceDN/>
      <w:ind w:firstLine="142"/>
      <w:jc w:val="both"/>
    </w:pPr>
    <w:rPr>
      <w:rFonts w:ascii="Times New Roman" w:hAnsi="Times New Roman"/>
      <w:lang w:val="en-GB" w:eastAsia="pl-PL"/>
    </w:rPr>
  </w:style>
  <w:style w:type="paragraph" w:customStyle="1" w:styleId="header2">
    <w:name w:val="header 2"/>
    <w:basedOn w:val="Nagwek2"/>
    <w:rsid w:val="004A2788"/>
    <w:pPr>
      <w:numPr>
        <w:numId w:val="22"/>
      </w:numPr>
      <w:autoSpaceDE/>
      <w:autoSpaceDN/>
      <w:spacing w:before="240"/>
      <w:ind w:left="0"/>
    </w:pPr>
    <w:rPr>
      <w:rFonts w:ascii="Times New Roman" w:hAnsi="Times New Roman"/>
      <w:b/>
      <w:i w:val="0"/>
      <w:iCs w:val="0"/>
      <w:lang w:val="en-GB" w:eastAsia="pl-PL"/>
    </w:rPr>
  </w:style>
  <w:style w:type="paragraph" w:customStyle="1" w:styleId="Table">
    <w:name w:val="Table"/>
    <w:basedOn w:val="Normalny"/>
    <w:rsid w:val="004A2788"/>
    <w:pPr>
      <w:keepNext/>
      <w:autoSpaceDE/>
      <w:autoSpaceDN/>
      <w:spacing w:before="60" w:after="60"/>
      <w:jc w:val="center"/>
    </w:pPr>
    <w:rPr>
      <w:rFonts w:ascii="Times New Roman" w:hAnsi="Times New Roman"/>
      <w:sz w:val="18"/>
      <w:lang w:eastAsia="pl-PL"/>
    </w:rPr>
  </w:style>
  <w:style w:type="paragraph" w:customStyle="1" w:styleId="Figure">
    <w:name w:val="Figure"/>
    <w:basedOn w:val="Normalny"/>
    <w:rsid w:val="004A2788"/>
    <w:pPr>
      <w:keepNext/>
      <w:autoSpaceDE/>
      <w:autoSpaceDN/>
      <w:spacing w:before="120"/>
      <w:jc w:val="center"/>
    </w:pPr>
    <w:rPr>
      <w:rFonts w:ascii="Times New Roman" w:hAnsi="Times New Roman"/>
      <w:lang w:val="en-GB" w:eastAsia="pl-PL"/>
    </w:rPr>
  </w:style>
  <w:style w:type="paragraph" w:customStyle="1" w:styleId="Figdescription">
    <w:name w:val="Fig. description"/>
    <w:basedOn w:val="Wcicienormalne"/>
    <w:rsid w:val="004A2788"/>
    <w:pPr>
      <w:spacing w:before="60" w:after="240"/>
      <w:jc w:val="center"/>
    </w:pPr>
    <w:rPr>
      <w:i/>
    </w:rPr>
  </w:style>
  <w:style w:type="paragraph" w:customStyle="1" w:styleId="Tekstpodstawowyba">
    <w:name w:val="Tekst podstawowy_b/a"/>
    <w:basedOn w:val="Tekstpodstawowy"/>
    <w:rsid w:val="00D07C87"/>
    <w:pPr>
      <w:autoSpaceDE/>
      <w:autoSpaceDN/>
      <w:spacing w:after="0" w:line="320" w:lineRule="exact"/>
      <w:jc w:val="both"/>
    </w:pPr>
    <w:rPr>
      <w:rFonts w:ascii="Times New Roman" w:hAnsi="Times New Roman"/>
      <w:spacing w:val="-4"/>
      <w:sz w:val="24"/>
      <w:szCs w:val="24"/>
      <w:lang w:val="pl-PL" w:eastAsia="pl-PL"/>
    </w:rPr>
  </w:style>
  <w:style w:type="paragraph" w:styleId="Tekstpodstawowy">
    <w:name w:val="Body Text"/>
    <w:basedOn w:val="Normalny"/>
    <w:rsid w:val="00D07C87"/>
    <w:pPr>
      <w:spacing w:after="120"/>
    </w:pPr>
  </w:style>
  <w:style w:type="paragraph" w:styleId="Tekstdymka">
    <w:name w:val="Balloon Text"/>
    <w:basedOn w:val="Normalny"/>
    <w:semiHidden/>
    <w:rsid w:val="0077676F"/>
    <w:rPr>
      <w:rFonts w:ascii="Tahoma" w:hAnsi="Tahoma" w:cs="Tahoma"/>
      <w:sz w:val="16"/>
      <w:szCs w:val="16"/>
    </w:rPr>
  </w:style>
  <w:style w:type="table" w:customStyle="1" w:styleId="Jasnecieniowanie1">
    <w:name w:val="Jasne cieniowanie1"/>
    <w:basedOn w:val="Standardowy"/>
    <w:uiPriority w:val="60"/>
    <w:rsid w:val="00771914"/>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Odwoaniedokomentarza">
    <w:name w:val="annotation reference"/>
    <w:basedOn w:val="Domylnaczcionkaakapitu"/>
    <w:uiPriority w:val="99"/>
    <w:semiHidden/>
    <w:unhideWhenUsed/>
    <w:rsid w:val="00BF36F6"/>
    <w:rPr>
      <w:sz w:val="16"/>
      <w:szCs w:val="16"/>
    </w:rPr>
  </w:style>
  <w:style w:type="paragraph" w:styleId="Tekstkomentarza">
    <w:name w:val="annotation text"/>
    <w:basedOn w:val="Normalny"/>
    <w:link w:val="TekstkomentarzaZnak"/>
    <w:uiPriority w:val="99"/>
    <w:semiHidden/>
    <w:unhideWhenUsed/>
    <w:rsid w:val="00BF36F6"/>
  </w:style>
  <w:style w:type="character" w:customStyle="1" w:styleId="TekstkomentarzaZnak">
    <w:name w:val="Tekst komentarza Znak"/>
    <w:basedOn w:val="Domylnaczcionkaakapitu"/>
    <w:link w:val="Tekstkomentarza"/>
    <w:uiPriority w:val="99"/>
    <w:semiHidden/>
    <w:rsid w:val="00BF36F6"/>
    <w:rPr>
      <w:rFonts w:ascii="(Użyj czcionki tekstu azjatycki" w:hAnsi="(Użyj czcionki tekstu azjatycki"/>
      <w:lang w:val="en-US" w:eastAsia="en-US"/>
    </w:rPr>
  </w:style>
  <w:style w:type="paragraph" w:styleId="Tematkomentarza">
    <w:name w:val="annotation subject"/>
    <w:basedOn w:val="Tekstkomentarza"/>
    <w:next w:val="Tekstkomentarza"/>
    <w:link w:val="TematkomentarzaZnak"/>
    <w:uiPriority w:val="99"/>
    <w:semiHidden/>
    <w:unhideWhenUsed/>
    <w:rsid w:val="00BF36F6"/>
    <w:rPr>
      <w:b/>
      <w:bCs/>
    </w:rPr>
  </w:style>
  <w:style w:type="character" w:customStyle="1" w:styleId="TematkomentarzaZnak">
    <w:name w:val="Temat komentarza Znak"/>
    <w:basedOn w:val="TekstkomentarzaZnak"/>
    <w:link w:val="Tematkomentarza"/>
    <w:uiPriority w:val="99"/>
    <w:semiHidden/>
    <w:rsid w:val="00BF36F6"/>
    <w:rPr>
      <w:rFonts w:ascii="(Użyj czcionki tekstu azjatycki" w:hAnsi="(Użyj czcionki tekstu azjatycki"/>
      <w:b/>
      <w:bCs/>
      <w:lang w:val="en-US" w:eastAsia="en-US"/>
    </w:rPr>
  </w:style>
  <w:style w:type="paragraph" w:styleId="Bibliografia">
    <w:name w:val="Bibliography"/>
    <w:basedOn w:val="Normalny"/>
    <w:next w:val="Normalny"/>
    <w:uiPriority w:val="37"/>
    <w:unhideWhenUsed/>
    <w:rsid w:val="00FD4F78"/>
    <w:pPr>
      <w:autoSpaceDE/>
      <w:autoSpaceDN/>
      <w:spacing w:after="200" w:line="276" w:lineRule="auto"/>
    </w:pPr>
    <w:rPr>
      <w:rFonts w:asciiTheme="minorHAnsi" w:eastAsiaTheme="minorHAnsi" w:hAnsiTheme="minorHAnsi" w:cstheme="minorBidi"/>
      <w:sz w:val="22"/>
      <w:szCs w:val="22"/>
      <w:lang w:val="pl-PL"/>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G:\DOKTORAT\ucz2015\MartaKazimierska\Artykul_Mar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DOKTORAT\ucz2015\MartaKazimierska\Artykul_Mar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DOKTORAT\ucz2015\MartaKazimierska\Artykul_Mar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pl-PL"/>
  <c:chart>
    <c:autoTitleDeleted val="1"/>
    <c:plotArea>
      <c:layout/>
      <c:scatterChart>
        <c:scatterStyle val="lineMarker"/>
        <c:ser>
          <c:idx val="0"/>
          <c:order val="0"/>
          <c:tx>
            <c:v>I</c:v>
          </c:tx>
          <c:spPr>
            <a:ln w="28575">
              <a:noFill/>
            </a:ln>
          </c:spPr>
          <c:marker>
            <c:symbol val="circle"/>
            <c:size val="4"/>
          </c:marker>
          <c:trendline>
            <c:spPr>
              <a:ln w="19050">
                <a:solidFill>
                  <a:schemeClr val="accent1">
                    <a:lumMod val="75000"/>
                  </a:schemeClr>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(Arkusz1!$C$4,Arkusz1!$C$7,Arkusz1!$C$10,Arkusz1!$C$13,Arkusz1!$C$16,Arkusz1!$C$19,Arkusz1!$C$22,Arkusz1!$C$25,Arkusz1!$C$28)</c:f>
              <c:numCache>
                <c:formatCode>0.00</c:formatCode>
                <c:ptCount val="9"/>
                <c:pt idx="0">
                  <c:v>3.4812853634202265E-2</c:v>
                </c:pt>
                <c:pt idx="1">
                  <c:v>9.5779441562674941E-2</c:v>
                </c:pt>
                <c:pt idx="2">
                  <c:v>0.73584112175338179</c:v>
                </c:pt>
                <c:pt idx="3">
                  <c:v>1.2207039592173758</c:v>
                </c:pt>
                <c:pt idx="4">
                  <c:v>2.9468989632908462</c:v>
                </c:pt>
                <c:pt idx="5">
                  <c:v>3.9193076258991377</c:v>
                </c:pt>
                <c:pt idx="6">
                  <c:v>5.9762908489349806</c:v>
                </c:pt>
                <c:pt idx="7">
                  <c:v>7.9661763976594484</c:v>
                </c:pt>
                <c:pt idx="8">
                  <c:v>11.056172479217159</c:v>
                </c:pt>
              </c:numCache>
            </c:numRef>
          </c:yVal>
        </c:ser>
        <c:ser>
          <c:idx val="1"/>
          <c:order val="1"/>
          <c:tx>
            <c:v>II</c:v>
          </c:tx>
          <c:spPr>
            <a:ln w="28575">
              <a:noFill/>
            </a:ln>
          </c:spPr>
          <c:marker>
            <c:symbol val="circle"/>
            <c:size val="4"/>
          </c:marker>
          <c:trendline>
            <c:spPr>
              <a:ln w="19050">
                <a:solidFill>
                  <a:srgbClr val="C00000"/>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(Arkusz1!$C$5,Arkusz1!$C$8,Arkusz1!$C$11,Arkusz1!$C$14,Arkusz1!$C$17,Arkusz1!$C$20,Arkusz1!$C$23,Arkusz1!$C$26,Arkusz1!$C$29)</c:f>
              <c:numCache>
                <c:formatCode>0.00</c:formatCode>
                <c:ptCount val="9"/>
                <c:pt idx="0">
                  <c:v>6.3617445136453302E-2</c:v>
                </c:pt>
                <c:pt idx="1">
                  <c:v>0.20640316218087848</c:v>
                </c:pt>
                <c:pt idx="2">
                  <c:v>1.4352790493174878</c:v>
                </c:pt>
                <c:pt idx="3">
                  <c:v>2.7436577764880385</c:v>
                </c:pt>
                <c:pt idx="4">
                  <c:v>5.8354818483217334</c:v>
                </c:pt>
                <c:pt idx="5">
                  <c:v>7.9682498541839939</c:v>
                </c:pt>
                <c:pt idx="6">
                  <c:v>11.780549599113083</c:v>
                </c:pt>
                <c:pt idx="7">
                  <c:v>15.494897038244433</c:v>
                </c:pt>
                <c:pt idx="8">
                  <c:v>20.850599832076576</c:v>
                </c:pt>
              </c:numCache>
            </c:numRef>
          </c:yVal>
        </c:ser>
        <c:ser>
          <c:idx val="2"/>
          <c:order val="2"/>
          <c:tx>
            <c:v>III</c:v>
          </c:tx>
          <c:spPr>
            <a:ln w="28575">
              <a:noFill/>
            </a:ln>
          </c:spPr>
          <c:marker>
            <c:symbol val="circle"/>
            <c:size val="4"/>
          </c:marker>
          <c:trendline>
            <c:spPr>
              <a:ln w="25400">
                <a:solidFill>
                  <a:schemeClr val="accent3">
                    <a:lumMod val="50000"/>
                  </a:schemeClr>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(Arkusz1!$C$6,Arkusz1!$C$9,Arkusz1!$C$12,Arkusz1!$C$15,Arkusz1!$C$18,Arkusz1!$C$21,Arkusz1!$C$24,Arkusz1!$C$27,Arkusz1!$C$30)</c:f>
              <c:numCache>
                <c:formatCode>0.00</c:formatCode>
                <c:ptCount val="9"/>
                <c:pt idx="0">
                  <c:v>0.14561312429654633</c:v>
                </c:pt>
                <c:pt idx="1">
                  <c:v>0.4188144127240232</c:v>
                </c:pt>
                <c:pt idx="2">
                  <c:v>2.875329294069898</c:v>
                </c:pt>
                <c:pt idx="3">
                  <c:v>5.7726321827455953</c:v>
                </c:pt>
                <c:pt idx="4">
                  <c:v>11.343510977674947</c:v>
                </c:pt>
                <c:pt idx="5">
                  <c:v>15.62673431559608</c:v>
                </c:pt>
                <c:pt idx="6">
                  <c:v>22.59963091295176</c:v>
                </c:pt>
                <c:pt idx="7">
                  <c:v>28.761563034391365</c:v>
                </c:pt>
                <c:pt idx="8">
                  <c:v>37.353304507507154</c:v>
                </c:pt>
              </c:numCache>
            </c:numRef>
          </c:yVal>
        </c:ser>
        <c:axId val="112835584"/>
        <c:axId val="112962944"/>
      </c:scatterChart>
      <c:valAx>
        <c:axId val="112835584"/>
        <c:scaling>
          <c:orientation val="minMax"/>
          <c:max val="20"/>
        </c:scaling>
        <c:axPos val="b"/>
        <c:title>
          <c:tx>
            <c:rich>
              <a:bodyPr/>
              <a:lstStyle/>
              <a:p>
                <a:pPr>
                  <a:defRPr/>
                </a:pPr>
                <a:r>
                  <a:rPr lang="el-GR"/>
                  <a:t>φ</a:t>
                </a:r>
                <a:r>
                  <a:rPr lang="pl-PL" baseline="-25000"/>
                  <a:t>w </a:t>
                </a:r>
                <a:r>
                  <a:rPr lang="pl-PL" baseline="0"/>
                  <a:t>[µm]</a:t>
                </a:r>
                <a:endParaRPr lang="pl-PL" baseline="-25000"/>
              </a:p>
            </c:rich>
          </c:tx>
        </c:title>
        <c:numFmt formatCode="General" sourceLinked="1"/>
        <c:tickLblPos val="nextTo"/>
        <c:crossAx val="112962944"/>
        <c:crosses val="autoZero"/>
        <c:crossBetween val="midCat"/>
      </c:valAx>
      <c:valAx>
        <c:axId val="112962944"/>
        <c:scaling>
          <c:orientation val="minMax"/>
        </c:scaling>
        <c:axPos val="l"/>
        <c:majorGridlines/>
        <c:title>
          <c:tx>
            <c:rich>
              <a:bodyPr rot="-5400000" vert="horz"/>
              <a:lstStyle/>
              <a:p>
                <a:pPr>
                  <a:defRPr/>
                </a:pPr>
                <a:r>
                  <a:rPr lang="pl-PL"/>
                  <a:t>MTFDrop [%]</a:t>
                </a:r>
              </a:p>
            </c:rich>
          </c:tx>
        </c:title>
        <c:numFmt formatCode="0" sourceLinked="0"/>
        <c:tickLblPos val="nextTo"/>
        <c:crossAx val="112835584"/>
        <c:crosses val="autoZero"/>
        <c:crossBetween val="midCat"/>
      </c:valAx>
    </c:plotArea>
    <c:legend>
      <c:legendPos val="r"/>
      <c:legendEntry>
        <c:idx val="3"/>
        <c:delete val="1"/>
      </c:legendEntry>
      <c:legendEntry>
        <c:idx val="4"/>
        <c:delete val="1"/>
      </c:legendEntry>
      <c:legendEntry>
        <c:idx val="5"/>
        <c:delete val="1"/>
      </c:legendEntry>
    </c:legend>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l-PL"/>
  <c:chart>
    <c:autoTitleDeleted val="1"/>
    <c:plotArea>
      <c:layout/>
      <c:scatterChart>
        <c:scatterStyle val="lineMarker"/>
        <c:ser>
          <c:idx val="0"/>
          <c:order val="0"/>
          <c:tx>
            <c:v>I</c:v>
          </c:tx>
          <c:spPr>
            <a:ln w="28575">
              <a:noFill/>
            </a:ln>
          </c:spPr>
          <c:marker>
            <c:symbol val="circle"/>
            <c:size val="4"/>
          </c:marker>
          <c:trendline>
            <c:spPr>
              <a:ln w="19050">
                <a:solidFill>
                  <a:schemeClr val="accent1"/>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(Arkusz1!$I$4,Arkusz1!$I$7,Arkusz1!$I$10,Arkusz1!$I$13,Arkusz1!$I$16,Arkusz1!$I$19,Arkusz1!$I$22,Arkusz1!$I$25,Arkusz1!$I$28)</c:f>
              <c:numCache>
                <c:formatCode>0.00</c:formatCode>
                <c:ptCount val="9"/>
                <c:pt idx="0">
                  <c:v>2.1995885380375911E-2</c:v>
                </c:pt>
                <c:pt idx="1">
                  <c:v>9.7923835741992982E-2</c:v>
                </c:pt>
                <c:pt idx="2">
                  <c:v>0.64845383315451433</c:v>
                </c:pt>
                <c:pt idx="3">
                  <c:v>0.51785346618666261</c:v>
                </c:pt>
                <c:pt idx="4">
                  <c:v>2.370473168361964</c:v>
                </c:pt>
                <c:pt idx="5">
                  <c:v>2.9428219062414853</c:v>
                </c:pt>
                <c:pt idx="6">
                  <c:v>4.2609565523021615</c:v>
                </c:pt>
                <c:pt idx="7">
                  <c:v>5.5661968550280685</c:v>
                </c:pt>
                <c:pt idx="8">
                  <c:v>8.7238826391580186</c:v>
                </c:pt>
              </c:numCache>
            </c:numRef>
          </c:yVal>
        </c:ser>
        <c:ser>
          <c:idx val="1"/>
          <c:order val="1"/>
          <c:tx>
            <c:v>II</c:v>
          </c:tx>
          <c:spPr>
            <a:ln w="28575">
              <a:noFill/>
            </a:ln>
          </c:spPr>
          <c:marker>
            <c:symbol val="circle"/>
            <c:size val="4"/>
          </c:marker>
          <c:trendline>
            <c:spPr>
              <a:ln w="19050">
                <a:solidFill>
                  <a:srgbClr val="C00000"/>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(Arkusz1!$I$5,Arkusz1!$I$8,Arkusz1!$I$11,Arkusz1!$I$14,Arkusz1!$I$17,Arkusz1!$I$20,Arkusz1!$I$23,Arkusz1!$I$26,Arkusz1!$I$29)</c:f>
              <c:numCache>
                <c:formatCode>0.00</c:formatCode>
                <c:ptCount val="9"/>
                <c:pt idx="0">
                  <c:v>4.6522598452798956E-2</c:v>
                </c:pt>
                <c:pt idx="1">
                  <c:v>0.22165030105660513</c:v>
                </c:pt>
                <c:pt idx="2">
                  <c:v>1.2296511647616009</c:v>
                </c:pt>
                <c:pt idx="3">
                  <c:v>1.8911010313394969</c:v>
                </c:pt>
                <c:pt idx="4">
                  <c:v>4.6988581460326353</c:v>
                </c:pt>
                <c:pt idx="5">
                  <c:v>6.4116082365737652</c:v>
                </c:pt>
                <c:pt idx="6">
                  <c:v>9.0894721846137188</c:v>
                </c:pt>
                <c:pt idx="7">
                  <c:v>11.52983064735843</c:v>
                </c:pt>
                <c:pt idx="8">
                  <c:v>16.486928402874192</c:v>
                </c:pt>
              </c:numCache>
            </c:numRef>
          </c:yVal>
        </c:ser>
        <c:ser>
          <c:idx val="2"/>
          <c:order val="2"/>
          <c:tx>
            <c:v>III</c:v>
          </c:tx>
          <c:spPr>
            <a:ln w="28575">
              <a:noFill/>
            </a:ln>
          </c:spPr>
          <c:marker>
            <c:symbol val="circle"/>
            <c:size val="4"/>
          </c:marker>
          <c:trendline>
            <c:spPr>
              <a:ln w="19050">
                <a:solidFill>
                  <a:schemeClr val="accent3">
                    <a:lumMod val="75000"/>
                  </a:schemeClr>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(Arkusz1!$I$6,Arkusz1!$I$9,Arkusz1!$I$12,Arkusz1!$I$15,Arkusz1!$I$18,Arkusz1!$I$21,Arkusz1!$I$24,Arkusz1!$I$27,Arkusz1!$I$30)</c:f>
              <c:numCache>
                <c:formatCode>0.00</c:formatCode>
                <c:ptCount val="9"/>
                <c:pt idx="0">
                  <c:v>0.10849865665229833</c:v>
                </c:pt>
                <c:pt idx="1">
                  <c:v>0.39529037029026615</c:v>
                </c:pt>
                <c:pt idx="2">
                  <c:v>2.4990641303251779</c:v>
                </c:pt>
                <c:pt idx="3">
                  <c:v>4.5313218157731177</c:v>
                </c:pt>
                <c:pt idx="4">
                  <c:v>9.132708954911072</c:v>
                </c:pt>
                <c:pt idx="5">
                  <c:v>13.072992381938766</c:v>
                </c:pt>
                <c:pt idx="6">
                  <c:v>17.873431621505269</c:v>
                </c:pt>
                <c:pt idx="7">
                  <c:v>22.365030540876109</c:v>
                </c:pt>
                <c:pt idx="8">
                  <c:v>30.198998800488745</c:v>
                </c:pt>
              </c:numCache>
            </c:numRef>
          </c:yVal>
        </c:ser>
        <c:axId val="112825472"/>
        <c:axId val="112827392"/>
      </c:scatterChart>
      <c:valAx>
        <c:axId val="112825472"/>
        <c:scaling>
          <c:orientation val="minMax"/>
          <c:max val="20"/>
        </c:scaling>
        <c:axPos val="b"/>
        <c:title>
          <c:tx>
            <c:rich>
              <a:bodyPr/>
              <a:lstStyle/>
              <a:p>
                <a:pPr>
                  <a:defRPr/>
                </a:pPr>
                <a:r>
                  <a:rPr lang="el-GR"/>
                  <a:t>φ</a:t>
                </a:r>
                <a:r>
                  <a:rPr lang="pl-PL" baseline="-25000"/>
                  <a:t>w </a:t>
                </a:r>
                <a:r>
                  <a:rPr lang="pl-PL" baseline="0"/>
                  <a:t>[µm]</a:t>
                </a:r>
                <a:endParaRPr lang="pl-PL" baseline="-25000"/>
              </a:p>
            </c:rich>
          </c:tx>
        </c:title>
        <c:numFmt formatCode="General" sourceLinked="1"/>
        <c:tickLblPos val="nextTo"/>
        <c:crossAx val="112827392"/>
        <c:crosses val="autoZero"/>
        <c:crossBetween val="midCat"/>
      </c:valAx>
      <c:valAx>
        <c:axId val="112827392"/>
        <c:scaling>
          <c:orientation val="minMax"/>
          <c:max val="40"/>
        </c:scaling>
        <c:axPos val="l"/>
        <c:majorGridlines/>
        <c:title>
          <c:tx>
            <c:rich>
              <a:bodyPr rot="-5400000" vert="horz"/>
              <a:lstStyle/>
              <a:p>
                <a:pPr>
                  <a:defRPr/>
                </a:pPr>
                <a:r>
                  <a:rPr lang="pl-PL"/>
                  <a:t>MTFDrop [%]</a:t>
                </a:r>
              </a:p>
            </c:rich>
          </c:tx>
        </c:title>
        <c:numFmt formatCode="0" sourceLinked="0"/>
        <c:tickLblPos val="nextTo"/>
        <c:crossAx val="112825472"/>
        <c:crosses val="autoZero"/>
        <c:crossBetween val="midCat"/>
      </c:valAx>
    </c:plotArea>
    <c:legend>
      <c:legendPos val="r"/>
      <c:legendEntry>
        <c:idx val="3"/>
        <c:delete val="1"/>
      </c:legendEntry>
      <c:legendEntry>
        <c:idx val="4"/>
        <c:delete val="1"/>
      </c:legendEntry>
      <c:legendEntry>
        <c:idx val="5"/>
        <c:delete val="1"/>
      </c:legendEntry>
    </c:legend>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l-PL"/>
  <c:chart>
    <c:autoTitleDeleted val="1"/>
    <c:plotArea>
      <c:layout/>
      <c:scatterChart>
        <c:scatterStyle val="lineMarker"/>
        <c:ser>
          <c:idx val="0"/>
          <c:order val="0"/>
          <c:tx>
            <c:v>I</c:v>
          </c:tx>
          <c:spPr>
            <a:ln w="28575">
              <a:noFill/>
            </a:ln>
          </c:spPr>
          <c:marker>
            <c:symbol val="circle"/>
            <c:size val="4"/>
          </c:marker>
          <c:trendline>
            <c:spPr>
              <a:ln w="19050">
                <a:solidFill>
                  <a:schemeClr val="accent1"/>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(Arkusz1!$F$4,Arkusz1!$F$7,Arkusz1!$F$10,Arkusz1!$F$13,Arkusz1!$F$16,Arkusz1!$F$19,Arkusz1!$F$22,Arkusz1!$F$25,Arkusz1!$F$28)</c:f>
              <c:numCache>
                <c:formatCode>0.00</c:formatCode>
                <c:ptCount val="9"/>
                <c:pt idx="0">
                  <c:v>3.8096084882309408E-2</c:v>
                </c:pt>
                <c:pt idx="1">
                  <c:v>8.7386321244356718E-2</c:v>
                </c:pt>
                <c:pt idx="2">
                  <c:v>0.7543394447519095</c:v>
                </c:pt>
                <c:pt idx="3">
                  <c:v>1.2490592852539493</c:v>
                </c:pt>
                <c:pt idx="4">
                  <c:v>2.9743871223813674</c:v>
                </c:pt>
                <c:pt idx="5">
                  <c:v>4.2563893990520683</c:v>
                </c:pt>
                <c:pt idx="6">
                  <c:v>5.8650792100829356</c:v>
                </c:pt>
                <c:pt idx="7">
                  <c:v>7.9931758104852539</c:v>
                </c:pt>
                <c:pt idx="8">
                  <c:v>11.245400350835654</c:v>
                </c:pt>
              </c:numCache>
            </c:numRef>
          </c:yVal>
        </c:ser>
        <c:ser>
          <c:idx val="1"/>
          <c:order val="1"/>
          <c:tx>
            <c:v>II</c:v>
          </c:tx>
          <c:spPr>
            <a:ln w="28575">
              <a:noFill/>
            </a:ln>
          </c:spPr>
          <c:marker>
            <c:symbol val="circle"/>
            <c:size val="4"/>
          </c:marker>
          <c:trendline>
            <c:spPr>
              <a:ln w="19050">
                <a:solidFill>
                  <a:srgbClr val="C00000"/>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(Arkusz1!$F$5,Arkusz1!$F$8,Arkusz1!$F$11,Arkusz1!$F$14,Arkusz1!$F$17,Arkusz1!$F$20,Arkusz1!$F$23,Arkusz1!$F$26,Arkusz1!$F$29)</c:f>
              <c:numCache>
                <c:formatCode>0.00</c:formatCode>
                <c:ptCount val="9"/>
                <c:pt idx="0">
                  <c:v>7.1497802359267171E-2</c:v>
                </c:pt>
                <c:pt idx="1">
                  <c:v>0.1854251157053883</c:v>
                </c:pt>
                <c:pt idx="2">
                  <c:v>1.482499193785312</c:v>
                </c:pt>
                <c:pt idx="3">
                  <c:v>2.9032232515755356</c:v>
                </c:pt>
                <c:pt idx="4">
                  <c:v>5.8386385017168596</c:v>
                </c:pt>
                <c:pt idx="5">
                  <c:v>8.4306377430940902</c:v>
                </c:pt>
                <c:pt idx="6">
                  <c:v>11.550309010757228</c:v>
                </c:pt>
                <c:pt idx="7">
                  <c:v>15.780633748839332</c:v>
                </c:pt>
                <c:pt idx="8">
                  <c:v>21.11013205018849</c:v>
                </c:pt>
              </c:numCache>
            </c:numRef>
          </c:yVal>
        </c:ser>
        <c:ser>
          <c:idx val="2"/>
          <c:order val="2"/>
          <c:tx>
            <c:v>III</c:v>
          </c:tx>
          <c:spPr>
            <a:ln w="28575">
              <a:noFill/>
            </a:ln>
          </c:spPr>
          <c:marker>
            <c:symbol val="circle"/>
            <c:size val="4"/>
          </c:marker>
          <c:trendline>
            <c:spPr>
              <a:ln w="19050">
                <a:solidFill>
                  <a:schemeClr val="accent3">
                    <a:lumMod val="75000"/>
                  </a:schemeClr>
                </a:solidFill>
              </a:ln>
            </c:spPr>
            <c:trendlineType val="power"/>
          </c:trendline>
          <c:xVal>
            <c:numRef>
              <c:f>(Arkusz1!$A$4,Arkusz1!$A$7,Arkusz1!$A$10,Arkusz1!$A$13,Arkusz1!$A$16,Arkusz1!$A$19,Arkusz1!$A$22,Arkusz1!$A$25,Arkusz1!$A$28)</c:f>
              <c:numCache>
                <c:formatCode>General</c:formatCode>
                <c:ptCount val="9"/>
                <c:pt idx="0">
                  <c:v>1</c:v>
                </c:pt>
                <c:pt idx="1">
                  <c:v>2.5</c:v>
                </c:pt>
                <c:pt idx="2">
                  <c:v>5</c:v>
                </c:pt>
                <c:pt idx="3">
                  <c:v>7.5</c:v>
                </c:pt>
                <c:pt idx="4">
                  <c:v>10</c:v>
                </c:pt>
                <c:pt idx="5">
                  <c:v>12.5</c:v>
                </c:pt>
                <c:pt idx="6">
                  <c:v>15</c:v>
                </c:pt>
                <c:pt idx="7">
                  <c:v>17.5</c:v>
                </c:pt>
                <c:pt idx="8">
                  <c:v>20</c:v>
                </c:pt>
              </c:numCache>
            </c:numRef>
          </c:xVal>
          <c:yVal>
            <c:numRef>
              <c:f>(Arkusz1!$F$6,Arkusz1!$F$9,Arkusz1!$F$12,Arkusz1!$F$15,Arkusz1!$F$18,Arkusz1!$F$21,Arkusz1!$F$24,Arkusz1!$F$27,Arkusz1!$F$30)</c:f>
              <c:numCache>
                <c:formatCode>0.00</c:formatCode>
                <c:ptCount val="9"/>
                <c:pt idx="0">
                  <c:v>0.16448128811410054</c:v>
                </c:pt>
                <c:pt idx="1">
                  <c:v>0.36868387344093484</c:v>
                </c:pt>
                <c:pt idx="2">
                  <c:v>2.9205830780349697</c:v>
                </c:pt>
                <c:pt idx="3">
                  <c:v>5.9312083476639028</c:v>
                </c:pt>
                <c:pt idx="4">
                  <c:v>11.225178760928456</c:v>
                </c:pt>
                <c:pt idx="5">
                  <c:v>16.478842765573781</c:v>
                </c:pt>
                <c:pt idx="6">
                  <c:v>22.132484922299025</c:v>
                </c:pt>
                <c:pt idx="7">
                  <c:v>29.345837502537364</c:v>
                </c:pt>
                <c:pt idx="8">
                  <c:v>37.728892710207212</c:v>
                </c:pt>
              </c:numCache>
            </c:numRef>
          </c:yVal>
        </c:ser>
        <c:axId val="112996352"/>
        <c:axId val="112998272"/>
      </c:scatterChart>
      <c:valAx>
        <c:axId val="112996352"/>
        <c:scaling>
          <c:orientation val="minMax"/>
          <c:max val="20"/>
        </c:scaling>
        <c:axPos val="b"/>
        <c:title>
          <c:tx>
            <c:rich>
              <a:bodyPr/>
              <a:lstStyle/>
              <a:p>
                <a:pPr>
                  <a:defRPr/>
                </a:pPr>
                <a:r>
                  <a:rPr lang="el-GR"/>
                  <a:t>φ</a:t>
                </a:r>
                <a:r>
                  <a:rPr lang="pl-PL" baseline="-25000"/>
                  <a:t>w </a:t>
                </a:r>
                <a:r>
                  <a:rPr lang="pl-PL" baseline="0"/>
                  <a:t>[µm]</a:t>
                </a:r>
                <a:endParaRPr lang="pl-PL" baseline="-25000"/>
              </a:p>
            </c:rich>
          </c:tx>
        </c:title>
        <c:numFmt formatCode="General" sourceLinked="1"/>
        <c:tickLblPos val="nextTo"/>
        <c:crossAx val="112998272"/>
        <c:crosses val="autoZero"/>
        <c:crossBetween val="midCat"/>
      </c:valAx>
      <c:valAx>
        <c:axId val="112998272"/>
        <c:scaling>
          <c:orientation val="minMax"/>
        </c:scaling>
        <c:axPos val="l"/>
        <c:majorGridlines/>
        <c:title>
          <c:tx>
            <c:rich>
              <a:bodyPr rot="-5400000" vert="horz"/>
              <a:lstStyle/>
              <a:p>
                <a:pPr>
                  <a:defRPr/>
                </a:pPr>
                <a:r>
                  <a:rPr lang="pl-PL"/>
                  <a:t>MTFDrop [%]</a:t>
                </a:r>
              </a:p>
            </c:rich>
          </c:tx>
        </c:title>
        <c:numFmt formatCode="0" sourceLinked="0"/>
        <c:tickLblPos val="nextTo"/>
        <c:crossAx val="112996352"/>
        <c:crosses val="autoZero"/>
        <c:crossBetween val="midCat"/>
      </c:valAx>
    </c:plotArea>
    <c:legend>
      <c:legendPos val="r"/>
      <c:legendEntry>
        <c:idx val="3"/>
        <c:delete val="1"/>
      </c:legendEntry>
      <c:legendEntry>
        <c:idx val="4"/>
        <c:delete val="1"/>
      </c:legendEntry>
      <c:legendEntry>
        <c:idx val="5"/>
        <c:delete val="1"/>
      </c:legendEntry>
    </c:legend>
    <c:plotVisOnly val="1"/>
    <c:dispBlanksAs val="gap"/>
  </c:chart>
  <c:spPr>
    <a:noFill/>
    <a:ln>
      <a:noFill/>
    </a:ln>
  </c:sp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C9045-DA55-43B6-9E0D-C34BB3D1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1542</Words>
  <Characters>9258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10779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Photonics Letters of Poland</dc:subject>
  <dc:creator>MAK</dc:creator>
  <cp:lastModifiedBy>Malwinka</cp:lastModifiedBy>
  <cp:revision>2</cp:revision>
  <cp:lastPrinted>2015-08-03T17:09:00Z</cp:lastPrinted>
  <dcterms:created xsi:type="dcterms:W3CDTF">2015-09-06T20:12:00Z</dcterms:created>
  <dcterms:modified xsi:type="dcterms:W3CDTF">2015-09-06T20:12:00Z</dcterms:modified>
</cp:coreProperties>
</file>